
<file path=[Content_Types].xml><?xml version="1.0" encoding="utf-8"?>
<Types xmlns="http://schemas.openxmlformats.org/package/2006/content-types">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35.xml" ContentType="application/vnd.openxmlformats-officedocument.customXmlProperties+xml"/>
  <Override PartName="/customXml/itemProps44.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33.xml" ContentType="application/vnd.openxmlformats-officedocument.customXmlProperties+xml"/>
  <Override PartName="/customXml/itemProps42.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31.xml" ContentType="application/vnd.openxmlformats-officedocument.customXmlProperties+xml"/>
  <Override PartName="/customXml/itemProps40.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customXml/itemProps29.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8.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customXml/itemProps2.xml" ContentType="application/vnd.openxmlformats-officedocument.customXmlProperties+xml"/>
  <Override PartName="/customXml/itemProps16.xml" ContentType="application/vnd.openxmlformats-officedocument.customXmlProperties+xml"/>
  <Override PartName="/customXml/itemProps25.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Override PartName="/customXml/itemProps14.xml" ContentType="application/vnd.openxmlformats-officedocument.customXmlProperties+xml"/>
  <Override PartName="/customXml/itemProps23.xml" ContentType="application/vnd.openxmlformats-officedocument.customXmlProperties+xml"/>
  <Override PartName="/customXml/itemProps32.xml" ContentType="application/vnd.openxmlformats-officedocument.customXmlProperties+xml"/>
  <Override PartName="/customXml/itemProps41.xml" ContentType="application/vnd.openxmlformats-officedocument.customXmlProperties+xml"/>
  <Override PartName="/customXml/itemProps43.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30.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pPr>
        <w:pStyle w:val="CommentText"/>
        <w:rPr>
          <w:u w:val="single"/>
        </w:rPr>
      </w:pPr>
    </w:p>
    <w:p>
      <w:pPr>
        <w:pStyle w:val="CommentText"/>
      </w:pPr>
    </w:p>
    <w:p>
      <w:pPr>
        <w:pStyle w:val="CommentText"/>
      </w:pPr>
    </w:p>
    <w:p>
      <w:pPr>
        <w:pStyle w:val="CommentText"/>
      </w:pPr>
    </w:p>
    <w:p/>
    <w:p/>
    <w:p>
      <w:pPr>
        <w:tabs>
          <w:tab w:val="left" w:pos="50"/>
          <w:tab w:val="left" w:pos="11440"/>
          <w:tab w:val="left" w:pos="11490"/>
          <w:tab w:val="left" w:pos="12027"/>
          <w:tab w:val="left" w:pos="12564"/>
          <w:tab w:val="left" w:pos="13101"/>
          <w:tab w:val="left" w:pos="13638"/>
          <w:tab w:val="left" w:pos="14175"/>
        </w:tabs>
        <w:jc w:val="center"/>
        <w:rPr>
          <w:b/>
          <w:sz w:val="22"/>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 w:val="right" w:pos="8880"/>
        </w:tabs>
        <w:ind w:left="2977" w:right="22"/>
        <w:jc w:val="right"/>
        <w:rPr>
          <w:sz w:val="22"/>
          <w:szCs w:val="22"/>
        </w:rPr>
      </w:pPr>
    </w:p>
    <w:p>
      <w:pPr>
        <w:tabs>
          <w:tab w:val="left" w:pos="6930"/>
          <w:tab w:val="right" w:pos="8880"/>
        </w:tabs>
        <w:ind w:left="2977" w:right="22"/>
        <w:jc w:val="both"/>
        <w:rPr>
          <w:sz w:val="22"/>
          <w:szCs w:val="22"/>
        </w:rPr>
      </w:pPr>
    </w:p>
    <w:p>
      <w:pPr>
        <w:tabs>
          <w:tab w:val="left" w:pos="6930"/>
        </w:tabs>
        <w:ind w:left="2977" w:right="22"/>
        <w:jc w:val="both"/>
        <w:rPr>
          <w:b/>
          <w:sz w:val="22"/>
          <w:szCs w:val="22"/>
        </w:rPr>
      </w:pPr>
    </w:p>
    <w:p>
      <w:pPr>
        <w:tabs>
          <w:tab w:val="left" w:pos="6930"/>
        </w:tabs>
        <w:ind w:left="2552" w:right="-22"/>
        <w:rPr>
          <w:b/>
          <w:sz w:val="22"/>
          <w:szCs w:val="22"/>
        </w:rPr>
      </w:pPr>
      <w:r>
        <w:rPr>
          <w:b/>
          <w:sz w:val="22"/>
          <w:szCs w:val="22"/>
        </w:rPr>
        <w:t>TÜRKİYE KALKINMA BANKASI A.Ş.</w:t>
      </w:r>
    </w:p>
    <w:p>
      <w:pPr>
        <w:tabs>
          <w:tab w:val="left" w:pos="6930"/>
          <w:tab w:val="right" w:pos="8880"/>
        </w:tabs>
        <w:ind w:left="2552" w:right="-22"/>
        <w:rPr>
          <w:b/>
          <w:sz w:val="22"/>
          <w:szCs w:val="22"/>
        </w:rPr>
      </w:pPr>
    </w:p>
    <w:p>
      <w:pPr>
        <w:tabs>
          <w:tab w:val="left" w:pos="6930"/>
          <w:tab w:val="right" w:pos="8880"/>
        </w:tabs>
        <w:ind w:left="2552" w:right="48"/>
        <w:rPr>
          <w:bCs/>
          <w:sz w:val="22"/>
          <w:szCs w:val="22"/>
        </w:rPr>
      </w:pPr>
      <w:r>
        <w:rPr>
          <w:bCs/>
          <w:sz w:val="22"/>
          <w:szCs w:val="22"/>
        </w:rPr>
        <w:t xml:space="preserve">1 OCAK - </w:t>
      </w:r>
      <w:r>
        <w:rPr>
          <w:bCs/>
          <w:sz w:val="22"/>
          <w:szCs w:val="22"/>
        </w:rPr>
        <w:t>3</w:t>
      </w:r>
      <w:r>
        <w:rPr>
          <w:bCs/>
          <w:sz w:val="22"/>
          <w:szCs w:val="22"/>
        </w:rPr>
        <w:t>0</w:t>
      </w:r>
      <w:r>
        <w:rPr>
          <w:b/>
          <w:bCs/>
          <w:sz w:val="22"/>
          <w:szCs w:val="22"/>
        </w:rPr>
        <w:t xml:space="preserve"> </w:t>
      </w:r>
      <w:r>
        <w:rPr>
          <w:bCs/>
          <w:sz w:val="22"/>
          <w:szCs w:val="22"/>
        </w:rPr>
        <w:t>HAZİRAN</w:t>
      </w:r>
      <w:r>
        <w:rPr>
          <w:bCs/>
          <w:sz w:val="22"/>
          <w:szCs w:val="22"/>
        </w:rPr>
        <w:t xml:space="preserve"> </w:t>
      </w:r>
      <w:r>
        <w:rPr>
          <w:bCs/>
          <w:sz w:val="22"/>
          <w:szCs w:val="22"/>
        </w:rPr>
        <w:t>201</w:t>
      </w:r>
      <w:r>
        <w:rPr>
          <w:bCs/>
          <w:sz w:val="22"/>
          <w:szCs w:val="22"/>
        </w:rPr>
        <w:t>1</w:t>
      </w:r>
    </w:p>
    <w:p>
      <w:pPr>
        <w:tabs>
          <w:tab w:val="left" w:pos="6930"/>
          <w:tab w:val="right" w:pos="8880"/>
        </w:tabs>
        <w:ind w:left="2552" w:right="48"/>
        <w:rPr>
          <w:bCs/>
          <w:sz w:val="22"/>
          <w:szCs w:val="22"/>
        </w:rPr>
      </w:pPr>
      <w:r>
        <w:rPr>
          <w:bCs/>
          <w:sz w:val="22"/>
          <w:szCs w:val="22"/>
        </w:rPr>
        <w:t xml:space="preserve">HESAP </w:t>
      </w:r>
      <w:r>
        <w:rPr>
          <w:bCs/>
          <w:sz w:val="22"/>
          <w:szCs w:val="22"/>
        </w:rPr>
        <w:t>DÖNEMİNE AİT KONSOLİDE OLMAYAN</w:t>
      </w:r>
    </w:p>
    <w:p>
      <w:pPr>
        <w:tabs>
          <w:tab w:val="left" w:pos="6930"/>
          <w:tab w:val="right" w:pos="8880"/>
        </w:tabs>
        <w:ind w:left="2552" w:right="48"/>
        <w:rPr>
          <w:bCs/>
          <w:sz w:val="22"/>
          <w:szCs w:val="22"/>
        </w:rPr>
      </w:pPr>
      <w:r>
        <w:rPr>
          <w:bCs/>
          <w:sz w:val="22"/>
          <w:szCs w:val="22"/>
        </w:rPr>
        <w:t xml:space="preserve">FİNANSAL </w:t>
      </w:r>
      <w:r>
        <w:rPr>
          <w:bCs/>
          <w:sz w:val="22"/>
          <w:szCs w:val="22"/>
        </w:rPr>
        <w:t>TABLOLAR</w:t>
      </w:r>
      <w:r>
        <w:rPr>
          <w:bCs/>
          <w:sz w:val="22"/>
          <w:szCs w:val="22"/>
        </w:rPr>
        <w:t xml:space="preserve"> İLE</w:t>
      </w:r>
    </w:p>
    <w:p>
      <w:pPr>
        <w:tabs>
          <w:tab w:val="left" w:pos="6930"/>
          <w:tab w:val="right" w:pos="8880"/>
        </w:tabs>
        <w:ind w:left="2552" w:right="48"/>
        <w:rPr>
          <w:bCs/>
          <w:sz w:val="22"/>
          <w:szCs w:val="22"/>
        </w:rPr>
      </w:pPr>
      <w:r>
        <w:rPr>
          <w:bCs/>
          <w:sz w:val="22"/>
          <w:szCs w:val="22"/>
        </w:rPr>
        <w:t xml:space="preserve">BAĞIMSIZ </w:t>
      </w:r>
      <w:r>
        <w:rPr>
          <w:bCs/>
          <w:sz w:val="22"/>
          <w:szCs w:val="22"/>
        </w:rPr>
        <w:t xml:space="preserve">SINIRLI </w:t>
      </w:r>
      <w:r>
        <w:rPr>
          <w:bCs/>
          <w:sz w:val="22"/>
          <w:szCs w:val="22"/>
        </w:rPr>
        <w:t>DENETİM RAPORU</w:t>
      </w: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pStyle w:val="Title"/>
        <w:rPr>
          <w:rFonts w:ascii="Times New Roman" w:hAnsi="Times New Roman"/>
          <w:sz w:val="20"/>
          <w:szCs w:val="20"/>
        </w:rPr>
      </w:pPr>
    </w:p>
    <w:p>
      <w:pPr>
        <w:autoSpaceDE w:val="0"/>
        <w:autoSpaceDN w:val="0"/>
        <w:adjustRightInd w:val="0"/>
        <w:ind w:left="2977"/>
        <w:rPr>
          <w:rFonts w:ascii="TimesNewRomanPSMT" w:hAnsi="TimesNewRomanPSMT" w:cs="TimesNewRomanPSMT"/>
        </w:rPr>
      </w:pPr>
      <w:r>
        <w:rPr>
          <w:rFonts w:ascii="TimesNewRomanPSMT" w:hAnsi="TimesNewRomanPSMT" w:cs="TimesNewRomanPSMT"/>
        </w:rPr>
        <w:t>DRT Bağımsız Denetim ve Serbest</w:t>
      </w:r>
    </w:p>
    <w:p>
      <w:pPr>
        <w:autoSpaceDE w:val="0"/>
        <w:autoSpaceDN w:val="0"/>
        <w:adjustRightInd w:val="0"/>
        <w:ind w:left="2977"/>
        <w:rPr>
          <w:rFonts w:ascii="TimesNewRomanPSMT" w:hAnsi="TimesNewRomanPSMT" w:cs="TimesNewRomanPSMT"/>
        </w:rPr>
      </w:pPr>
      <w:r>
        <w:rPr>
          <w:rFonts w:ascii="TimesNewRomanPSMT" w:hAnsi="TimesNewRomanPSMT" w:cs="TimesNewRomanPSMT"/>
        </w:rPr>
        <w:t>Muhasebeci Mali Müşavirlik A.Ş.</w:t>
      </w:r>
    </w:p>
    <w:p>
      <w:pPr>
        <w:autoSpaceDE w:val="0"/>
        <w:autoSpaceDN w:val="0"/>
        <w:adjustRightInd w:val="0"/>
        <w:ind w:left="2977"/>
        <w:rPr>
          <w:rFonts w:ascii="TimesNewRomanPSMT" w:hAnsi="TimesNewRomanPSMT" w:cs="TimesNewRomanPSMT"/>
        </w:rPr>
      </w:pPr>
      <w:r>
        <w:rPr>
          <w:rFonts w:ascii="TimesNewRomanPSMT" w:hAnsi="TimesNewRomanPSMT" w:cs="TimesNewRomanPSMT"/>
        </w:rPr>
        <w:t>10</w:t>
      </w:r>
      <w:r>
        <w:rPr>
          <w:rFonts w:ascii="TimesNewRomanPSMT" w:hAnsi="TimesNewRomanPSMT" w:cs="TimesNewRomanPSMT"/>
        </w:rPr>
        <w:t xml:space="preserve"> Ağustos</w:t>
      </w:r>
      <w:r>
        <w:rPr>
          <w:rFonts w:ascii="TimesNewRomanPSMT" w:hAnsi="TimesNewRomanPSMT" w:cs="TimesNewRomanPSMT"/>
        </w:rPr>
        <w:t xml:space="preserve"> 2011</w:t>
      </w:r>
    </w:p>
    <w:p>
      <w:pPr>
        <w:autoSpaceDE w:val="0"/>
        <w:autoSpaceDN w:val="0"/>
        <w:adjustRightInd w:val="0"/>
        <w:ind w:left="2977"/>
        <w:rPr>
          <w:rFonts w:ascii="TimesNewRomanPS-ItalicMT" w:hAnsi="TimesNewRomanPS-ItalicMT" w:cs="TimesNewRomanPS-ItalicMT"/>
          <w:i/>
          <w:iCs/>
        </w:rPr>
      </w:pPr>
      <w:r>
        <w:rPr>
          <w:rFonts w:ascii="TimesNewRomanPS-ItalicMT" w:hAnsi="TimesNewRomanPS-ItalicMT" w:cs="TimesNewRomanPS-ItalicMT"/>
          <w:i/>
          <w:iCs/>
        </w:rPr>
        <w:t>Bu ra</w:t>
      </w:r>
      <w:r>
        <w:rPr>
          <w:rFonts w:ascii="TimesNewRomanPS-ItalicMT" w:hAnsi="TimesNewRomanPS-ItalicMT" w:cs="TimesNewRomanPS-ItalicMT"/>
          <w:i/>
          <w:iCs/>
        </w:rPr>
        <w:t>por</w:t>
      </w:r>
      <w:r>
        <w:rPr>
          <w:rFonts w:ascii="TimesNewRomanPS-ItalicMT" w:hAnsi="TimesNewRomanPS-ItalicMT" w:cs="TimesNewRomanPS-ItalicMT"/>
          <w:i/>
          <w:iCs/>
        </w:rPr>
        <w:t>1</w:t>
      </w:r>
      <w:r>
        <w:rPr>
          <w:rFonts w:ascii="TimesNewRomanPS-ItalicMT" w:hAnsi="TimesNewRomanPS-ItalicMT" w:cs="TimesNewRomanPS-ItalicMT"/>
          <w:i/>
          <w:iCs/>
        </w:rPr>
        <w:t xml:space="preserve"> sayfa bağımsız</w:t>
      </w:r>
      <w:r>
        <w:rPr>
          <w:rFonts w:ascii="TimesNewRomanPS-ItalicMT" w:hAnsi="TimesNewRomanPS-ItalicMT" w:cs="TimesNewRomanPS-ItalicMT"/>
          <w:i/>
          <w:iCs/>
        </w:rPr>
        <w:t xml:space="preserve"> </w:t>
      </w:r>
      <w:r>
        <w:rPr>
          <w:rFonts w:ascii="TimesNewRomanPS-ItalicMT" w:hAnsi="TimesNewRomanPS-ItalicMT" w:cs="TimesNewRomanPS-ItalicMT"/>
          <w:i/>
          <w:iCs/>
        </w:rPr>
        <w:t xml:space="preserve">sınırlı </w:t>
      </w:r>
      <w:r>
        <w:rPr>
          <w:rFonts w:ascii="TimesNewRomanPS-ItalicMT" w:hAnsi="TimesNewRomanPS-ItalicMT" w:cs="TimesNewRomanPS-ItalicMT"/>
          <w:i/>
          <w:iCs/>
        </w:rPr>
        <w:t>denetim raporu</w:t>
      </w:r>
    </w:p>
    <w:p>
      <w:pPr>
        <w:autoSpaceDE w:val="0"/>
        <w:autoSpaceDN w:val="0"/>
        <w:adjustRightInd w:val="0"/>
        <w:ind w:left="2977"/>
        <w:rPr>
          <w:rFonts w:ascii="TimesNewRomanPS-ItalicMT" w:hAnsi="TimesNewRomanPS-ItalicMT" w:cs="TimesNewRomanPS-ItalicMT"/>
          <w:i/>
          <w:iCs/>
        </w:rPr>
      </w:pPr>
      <w:r>
        <w:rPr>
          <w:rFonts w:ascii="TimesNewRomanPS-ItalicMT" w:hAnsi="TimesNewRomanPS-ItalicMT" w:cs="TimesNewRomanPS-ItalicMT"/>
          <w:i/>
          <w:iCs/>
        </w:rPr>
        <w:t xml:space="preserve">ile </w:t>
      </w:r>
      <w:r>
        <w:rPr>
          <w:rFonts w:ascii="TimesNewRomanPS-ItalicMT" w:hAnsi="TimesNewRomanPS-ItalicMT" w:cs="TimesNewRomanPS-ItalicMT"/>
          <w:i/>
          <w:iCs/>
        </w:rPr>
        <w:t>59</w:t>
      </w:r>
      <w:r>
        <w:rPr>
          <w:rFonts w:ascii="TimesNewRomanPS-ItalicMT" w:hAnsi="TimesNewRomanPS-ItalicMT" w:cs="TimesNewRomanPS-ItalicMT"/>
          <w:i/>
          <w:iCs/>
        </w:rPr>
        <w:t xml:space="preserve"> </w:t>
      </w:r>
      <w:r>
        <w:rPr>
          <w:rFonts w:ascii="TimesNewRomanPS-ItalicMT" w:hAnsi="TimesNewRomanPS-ItalicMT" w:cs="TimesNewRomanPS-ItalicMT"/>
          <w:i/>
          <w:iCs/>
        </w:rPr>
        <w:t>sayfa finansal tablo ve dipnotlarından</w:t>
      </w:r>
    </w:p>
    <w:p>
      <w:pPr>
        <w:tabs>
          <w:tab w:val="left" w:pos="720"/>
          <w:tab w:val="left" w:pos="1440"/>
          <w:tab w:val="left" w:pos="2160"/>
          <w:tab w:val="left" w:pos="2880"/>
          <w:tab w:val="left" w:pos="3600"/>
          <w:tab w:val="left" w:pos="4320"/>
          <w:tab w:val="left" w:pos="4500"/>
          <w:tab w:val="left" w:pos="5040"/>
          <w:tab w:val="left" w:pos="5760"/>
          <w:tab w:val="left" w:pos="6480"/>
          <w:tab w:val="left" w:pos="7695"/>
        </w:tabs>
        <w:ind w:left="2977"/>
        <w:rPr>
          <w:rFonts w:eastAsia="Arial Unicode MS"/>
          <w:sz w:val="22"/>
          <w:szCs w:val="22"/>
        </w:rPr>
      </w:pPr>
      <w:r>
        <w:rPr>
          <w:rFonts w:ascii="TimesNewRomanPS-ItalicMT" w:hAnsi="TimesNewRomanPS-ItalicMT" w:cs="TimesNewRomanPS-ItalicMT"/>
          <w:i/>
          <w:iCs/>
        </w:rPr>
        <w:t>oluşmaktadır.</w:t>
      </w:r>
    </w:p>
    <w:p>
      <w:pPr>
        <w:pStyle w:val="Title"/>
        <w:rPr>
          <w:rFonts w:ascii="Times New Roman" w:hAnsi="Times New Roman"/>
          <w:sz w:val="20"/>
          <w:szCs w:val="20"/>
        </w:rPr>
      </w:pPr>
    </w:p>
    <w:p>
      <w:pPr>
        <w:tabs>
          <w:tab w:val="left" w:pos="6930"/>
          <w:tab w:val="right" w:pos="8880"/>
        </w:tabs>
        <w:ind w:right="-45"/>
        <w:jc w:val="both"/>
        <w:rPr>
          <w:sz w:val="22"/>
          <w:szCs w:val="22"/>
        </w:rPr>
      </w:pPr>
      <w:r>
        <w:rPr>
          <w:sz w:val="20"/>
          <w:szCs w:val="20"/>
        </w:rPr>
        <w:br w:type="page"/>
      </w: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rPr>
      </w:pPr>
    </w:p>
    <w:p>
      <w:pPr>
        <w:tabs>
          <w:tab w:val="left" w:pos="6930"/>
          <w:tab w:val="right" w:pos="8880"/>
        </w:tabs>
        <w:ind w:right="-45"/>
        <w:jc w:val="both"/>
      </w:pPr>
    </w:p>
    <w:p>
      <w:pPr>
        <w:tabs>
          <w:tab w:val="left" w:pos="6930"/>
          <w:tab w:val="right" w:pos="8880"/>
        </w:tabs>
        <w:ind w:left="720" w:right="-45" w:hanging="720"/>
        <w:jc w:val="center"/>
        <w:outlineLvl w:val="0"/>
        <w:rPr>
          <w:b/>
          <w:smallCaps/>
        </w:rPr>
      </w:pPr>
      <w:r>
        <w:rPr>
          <w:b/>
          <w:smallCaps/>
        </w:rPr>
        <w:t>TÜRKİYE KALKINMA BANKASI A.Ş.</w:t>
      </w:r>
    </w:p>
    <w:p>
      <w:pPr>
        <w:tabs>
          <w:tab w:val="left" w:pos="6930"/>
          <w:tab w:val="right" w:pos="8880"/>
        </w:tabs>
        <w:ind w:left="720" w:right="-45" w:hanging="720"/>
        <w:jc w:val="center"/>
        <w:rPr>
          <w:smallCaps/>
        </w:rPr>
      </w:pPr>
    </w:p>
    <w:p>
      <w:pPr>
        <w:jc w:val="center"/>
      </w:pPr>
      <w:r>
        <w:t>1 OCAK – 3</w:t>
      </w:r>
      <w:r>
        <w:t>0</w:t>
      </w:r>
      <w:r>
        <w:t xml:space="preserve"> </w:t>
      </w:r>
      <w:r>
        <w:t>HAZİRAN</w:t>
      </w:r>
      <w:r>
        <w:t xml:space="preserve"> 201</w:t>
      </w:r>
      <w:r>
        <w:t>1</w:t>
      </w:r>
      <w:r>
        <w:t xml:space="preserve"> HESAP DÖNEMİNE AİT</w:t>
      </w:r>
    </w:p>
    <w:p>
      <w:pPr>
        <w:jc w:val="center"/>
      </w:pPr>
      <w:r>
        <w:t xml:space="preserve">BAĞIMSIZ </w:t>
      </w:r>
      <w:r>
        <w:t xml:space="preserve">SINIRLI </w:t>
      </w:r>
      <w:r>
        <w:t>DENETİM RAPORU</w:t>
      </w:r>
    </w:p>
    <w:p>
      <w:pPr>
        <w:ind w:right="-45"/>
        <w:outlineLvl w:val="0"/>
        <w:rPr>
          <w:bCs/>
          <w:sz w:val="22"/>
          <w:szCs w:val="22"/>
        </w:rPr>
      </w:pPr>
    </w:p>
    <w:p>
      <w:pPr>
        <w:ind w:right="-45"/>
        <w:outlineLvl w:val="0"/>
        <w:rPr>
          <w:sz w:val="22"/>
          <w:szCs w:val="22"/>
        </w:rPr>
      </w:pPr>
      <w:r>
        <w:rPr>
          <w:sz w:val="22"/>
          <w:szCs w:val="22"/>
        </w:rPr>
        <w:t>Türkiye Kalkınma Bankası A.Ş.</w:t>
      </w:r>
    </w:p>
    <w:p>
      <w:pPr>
        <w:ind w:right="-45"/>
        <w:outlineLvl w:val="0"/>
        <w:rPr>
          <w:sz w:val="22"/>
          <w:szCs w:val="22"/>
        </w:rPr>
      </w:pPr>
      <w:r>
        <w:rPr>
          <w:sz w:val="22"/>
          <w:szCs w:val="22"/>
        </w:rPr>
        <w:t>Yönetim Kurulu’na</w:t>
      </w:r>
    </w:p>
    <w:p>
      <w:pPr>
        <w:tabs>
          <w:tab w:val="left" w:pos="6930"/>
          <w:tab w:val="right" w:pos="8880"/>
        </w:tabs>
        <w:ind w:right="-45"/>
        <w:jc w:val="both"/>
        <w:rPr>
          <w:sz w:val="22"/>
          <w:szCs w:val="22"/>
        </w:rPr>
      </w:pPr>
      <w:r>
        <w:rPr>
          <w:sz w:val="22"/>
          <w:szCs w:val="22"/>
        </w:rPr>
        <w:t>Ankara</w:t>
      </w:r>
    </w:p>
    <w:p>
      <w:pPr>
        <w:autoSpaceDE w:val="0"/>
        <w:autoSpaceDN w:val="0"/>
        <w:adjustRightInd w:val="0"/>
        <w:jc w:val="both"/>
        <w:rPr>
          <w:sz w:val="22"/>
          <w:szCs w:val="22"/>
        </w:rPr>
      </w:pPr>
    </w:p>
    <w:p>
      <w:pPr>
        <w:spacing w:line="240" w:lineRule="exact"/>
        <w:jc w:val="both"/>
        <w:rPr>
          <w:sz w:val="22"/>
          <w:szCs w:val="22"/>
        </w:rPr>
      </w:pPr>
    </w:p>
    <w:p>
      <w:pPr>
        <w:spacing w:line="240" w:lineRule="exact"/>
        <w:jc w:val="both"/>
        <w:rPr>
          <w:sz w:val="22"/>
          <w:szCs w:val="22"/>
        </w:rPr>
      </w:pPr>
      <w:r>
        <w:rPr>
          <w:sz w:val="22"/>
          <w:szCs w:val="22"/>
        </w:rPr>
        <w:t xml:space="preserve">Türkiye Kalkınma Bankası A.Ş.’nin </w:t>
      </w:r>
      <w:r>
        <w:rPr>
          <w:sz w:val="22"/>
          <w:szCs w:val="22"/>
        </w:rPr>
        <w:t xml:space="preserve">(“Banka”) </w:t>
      </w:r>
      <w:r>
        <w:rPr>
          <w:sz w:val="22"/>
          <w:szCs w:val="22"/>
        </w:rPr>
        <w:t>3</w:t>
      </w:r>
      <w:r>
        <w:rPr>
          <w:sz w:val="22"/>
          <w:szCs w:val="22"/>
        </w:rPr>
        <w:t>0</w:t>
      </w:r>
      <w:r>
        <w:rPr>
          <w:sz w:val="22"/>
          <w:szCs w:val="22"/>
        </w:rPr>
        <w:t xml:space="preserve"> </w:t>
      </w:r>
      <w:r>
        <w:rPr>
          <w:sz w:val="22"/>
          <w:szCs w:val="22"/>
        </w:rPr>
        <w:t xml:space="preserve">Haziran </w:t>
      </w:r>
      <w:r>
        <w:rPr>
          <w:sz w:val="22"/>
          <w:szCs w:val="22"/>
        </w:rPr>
        <w:t>201</w:t>
      </w:r>
      <w:r>
        <w:rPr>
          <w:sz w:val="22"/>
          <w:szCs w:val="22"/>
        </w:rPr>
        <w:t>1</w:t>
      </w:r>
      <w:r>
        <w:rPr>
          <w:sz w:val="22"/>
          <w:szCs w:val="22"/>
        </w:rPr>
        <w:t xml:space="preserve"> tarihi itibarıyla hazırlanan </w:t>
      </w:r>
      <w:r>
        <w:rPr>
          <w:sz w:val="22"/>
          <w:szCs w:val="22"/>
        </w:rPr>
        <w:t xml:space="preserve">konsolide olmayan </w:t>
      </w:r>
      <w:r>
        <w:rPr>
          <w:sz w:val="22"/>
          <w:szCs w:val="22"/>
        </w:rPr>
        <w:t>bilançosu</w:t>
      </w:r>
      <w:r>
        <w:rPr>
          <w:sz w:val="22"/>
          <w:szCs w:val="22"/>
        </w:rPr>
        <w:t xml:space="preserve"> ile</w:t>
      </w:r>
      <w:r>
        <w:rPr>
          <w:sz w:val="22"/>
          <w:szCs w:val="22"/>
        </w:rPr>
        <w:t xml:space="preserve"> aynı tarihte sona eren döneme ait gelir tablosu</w:t>
      </w:r>
      <w:r>
        <w:rPr>
          <w:sz w:val="22"/>
          <w:szCs w:val="22"/>
        </w:rPr>
        <w:t>, nakit akış tablosu</w:t>
      </w:r>
      <w:r>
        <w:rPr>
          <w:sz w:val="22"/>
          <w:szCs w:val="22"/>
        </w:rPr>
        <w:t xml:space="preserve"> ve özkaynak değişim tablosunu sınırlı denetime tabi tutmuş bulunuyoruz. Rapor konusu finansal tablolar Banka yönetiminin sorumluluğundadır. Bağımsız denetimi yapan kuruluş olarak</w:t>
      </w:r>
      <w:r>
        <w:rPr>
          <w:sz w:val="22"/>
          <w:szCs w:val="22"/>
        </w:rPr>
        <w:t xml:space="preserve"> üzerimize düşen sorumluluk, gerçekleştirilen sınırlı denetime dayanarak bu finansal tablolar üzerine rapor sunmaktır.</w:t>
      </w:r>
    </w:p>
    <w:p>
      <w:pPr>
        <w:spacing w:line="240" w:lineRule="exact"/>
        <w:ind w:firstLineChars="300" w:firstLine="660"/>
        <w:jc w:val="both"/>
        <w:rPr>
          <w:sz w:val="22"/>
          <w:szCs w:val="22"/>
        </w:rPr>
      </w:pPr>
    </w:p>
    <w:p>
      <w:pPr>
        <w:autoSpaceDE w:val="0"/>
        <w:autoSpaceDN w:val="0"/>
        <w:adjustRightInd w:val="0"/>
        <w:jc w:val="both"/>
        <w:rPr>
          <w:sz w:val="22"/>
          <w:szCs w:val="22"/>
        </w:rPr>
      </w:pPr>
      <w:r>
        <w:rPr>
          <w:sz w:val="22"/>
          <w:szCs w:val="22"/>
        </w:rPr>
        <w:t>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w:t>
      </w:r>
      <w:r>
        <w:rPr>
          <w:sz w:val="22"/>
          <w:szCs w:val="22"/>
        </w:rPr>
        <w:t>.</w:t>
      </w:r>
    </w:p>
    <w:p>
      <w:pPr>
        <w:spacing w:line="240" w:lineRule="exact"/>
        <w:jc w:val="both"/>
      </w:pPr>
    </w:p>
    <w:p>
      <w:pPr>
        <w:spacing w:line="240" w:lineRule="exact"/>
        <w:jc w:val="both"/>
        <w:rPr>
          <w:sz w:val="22"/>
          <w:szCs w:val="22"/>
        </w:rPr>
      </w:pPr>
      <w:r>
        <w:rPr>
          <w:sz w:val="22"/>
          <w:szCs w:val="22"/>
        </w:rPr>
        <w:t>Gerçekleştirmiş olduğumuz sınırlı denetim sonucunda, ilişikteki konsolide olmayan finansal tabloların, Banka’nın 3</w:t>
      </w:r>
      <w:r>
        <w:rPr>
          <w:sz w:val="22"/>
          <w:szCs w:val="22"/>
        </w:rPr>
        <w:t>0</w:t>
      </w:r>
      <w:r>
        <w:rPr>
          <w:sz w:val="22"/>
          <w:szCs w:val="22"/>
        </w:rPr>
        <w:t xml:space="preserve"> </w:t>
      </w:r>
      <w:r>
        <w:rPr>
          <w:sz w:val="22"/>
          <w:szCs w:val="22"/>
        </w:rPr>
        <w:t>Haziran</w:t>
      </w:r>
      <w:r>
        <w:rPr>
          <w:sz w:val="22"/>
          <w:szCs w:val="22"/>
        </w:rPr>
        <w:t xml:space="preserve"> 2011 </w:t>
      </w:r>
      <w:r>
        <w:rPr>
          <w:sz w:val="22"/>
          <w:szCs w:val="22"/>
        </w:rPr>
        <w:t>tarihi itibarıyla mali durumunu ve aynı tarihte sona eren döneme ait faaliyet sonuçlarını ve nakit akımlarını 5411 sayılı Bankacılık Kanununun 37’nci maddesi gereğince yürürlükte bulunan düzenlemelerde belirlenen muhasebe ilke ve standartlarına ve Bankacılık Düzenleme ve Denetleme Kurulu tarafından muhasebe ve finansal raporlama esaslarına ilişkin yayımlanan diğer yönetmelik, tebliğ ve genelgeler ile Bankacılık Düzenleme ve Denetleme Kurumu tarafından yapılan açıklamalara uygun olarak doğru bir biçimde yansıtmadığına dair önemli herhangi bir hususa rastlanmamıştır.</w:t>
      </w:r>
      <w:r>
        <w:rPr>
          <w:sz w:val="22"/>
          <w:szCs w:val="22"/>
        </w:rPr>
        <w:t xml:space="preserve"> </w:t>
      </w:r>
    </w:p>
    <w:p>
      <w:pPr>
        <w:autoSpaceDE w:val="0"/>
        <w:autoSpaceDN w:val="0"/>
        <w:adjustRightInd w:val="0"/>
        <w:rPr>
          <w:sz w:val="22"/>
          <w:szCs w:val="22"/>
          <w:lang w:val="es-ES"/>
        </w:rPr>
      </w:pPr>
    </w:p>
    <w:p>
      <w:pPr>
        <w:autoSpaceDE w:val="0"/>
        <w:autoSpaceDN w:val="0"/>
        <w:adjustRightInd w:val="0"/>
        <w:rPr>
          <w:sz w:val="22"/>
          <w:szCs w:val="22"/>
        </w:rPr>
      </w:pPr>
      <w:r>
        <w:rPr>
          <w:sz w:val="22"/>
          <w:szCs w:val="22"/>
        </w:rPr>
        <w:t xml:space="preserve">Ankara, </w:t>
      </w:r>
      <w:r>
        <w:rPr>
          <w:sz w:val="22"/>
          <w:szCs w:val="22"/>
        </w:rPr>
        <w:t>10</w:t>
      </w:r>
      <w:r>
        <w:rPr>
          <w:sz w:val="22"/>
          <w:szCs w:val="22"/>
        </w:rPr>
        <w:t xml:space="preserve"> Ağustos 2011</w:t>
      </w:r>
    </w:p>
    <w:p>
      <w:pPr>
        <w:autoSpaceDE w:val="0"/>
        <w:autoSpaceDN w:val="0"/>
        <w:adjustRightInd w:val="0"/>
        <w:rPr>
          <w:sz w:val="22"/>
          <w:szCs w:val="22"/>
          <w:lang w:val="es-ES"/>
        </w:rPr>
      </w:pPr>
    </w:p>
    <w:p>
      <w:pPr>
        <w:pStyle w:val="BodyTextIndent"/>
        <w:ind w:right="-45" w:firstLine="0"/>
        <w:rPr>
          <w:sz w:val="22"/>
          <w:szCs w:val="22"/>
        </w:rPr>
      </w:pPr>
      <w:r>
        <w:rPr>
          <w:sz w:val="22"/>
          <w:szCs w:val="22"/>
        </w:rPr>
        <w:t>DRT BAĞIMSIZ DENETİM VE SERBEST MUHASEBECİ MALİ MÜŞAVİRLİK A.Ş.</w:t>
      </w:r>
    </w:p>
    <w:p>
      <w:pPr>
        <w:pStyle w:val="BodyTextIndent"/>
        <w:ind w:right="540" w:firstLine="0"/>
        <w:rPr>
          <w:sz w:val="22"/>
          <w:szCs w:val="22"/>
        </w:rPr>
      </w:pPr>
      <w:r>
        <w:rPr>
          <w:sz w:val="22"/>
          <w:szCs w:val="22"/>
        </w:rPr>
        <w:t xml:space="preserve">Member of </w:t>
      </w:r>
      <w:r>
        <w:rPr>
          <w:b/>
          <w:sz w:val="22"/>
          <w:szCs w:val="22"/>
        </w:rPr>
        <w:t>DELOITTE TOUCHE TOHMATSU LIMITED</w:t>
      </w:r>
    </w:p>
    <w:p>
      <w:pPr>
        <w:tabs>
          <w:tab w:val="left" w:pos="6930"/>
          <w:tab w:val="right" w:pos="8880"/>
        </w:tabs>
        <w:ind w:right="540"/>
        <w:rPr>
          <w:b/>
          <w:sz w:val="22"/>
          <w:szCs w:val="22"/>
        </w:rPr>
      </w:pPr>
    </w:p>
    <w:p>
      <w:pPr>
        <w:tabs>
          <w:tab w:val="left" w:pos="6930"/>
          <w:tab w:val="right" w:pos="8880"/>
        </w:tabs>
        <w:ind w:right="540"/>
        <w:rPr>
          <w:sz w:val="22"/>
          <w:szCs w:val="22"/>
        </w:rPr>
      </w:pPr>
    </w:p>
    <w:p>
      <w:pPr>
        <w:tabs>
          <w:tab w:val="left" w:pos="6930"/>
          <w:tab w:val="right" w:pos="8880"/>
        </w:tabs>
        <w:ind w:right="540"/>
        <w:rPr>
          <w:sz w:val="22"/>
          <w:szCs w:val="22"/>
        </w:rPr>
      </w:pPr>
    </w:p>
    <w:p>
      <w:pPr>
        <w:tabs>
          <w:tab w:val="left" w:pos="709"/>
          <w:tab w:val="left" w:pos="6930"/>
          <w:tab w:val="right" w:pos="8880"/>
        </w:tabs>
        <w:ind w:right="540"/>
        <w:jc w:val="both"/>
        <w:rPr>
          <w:sz w:val="22"/>
          <w:szCs w:val="22"/>
        </w:rPr>
      </w:pPr>
      <w:r>
        <w:rPr>
          <w:sz w:val="22"/>
          <w:szCs w:val="22"/>
        </w:rPr>
        <w:t xml:space="preserve">Erdem </w:t>
      </w:r>
      <w:r>
        <w:rPr>
          <w:sz w:val="22"/>
          <w:szCs w:val="22"/>
        </w:rPr>
        <w:t>TAŞ</w:t>
      </w:r>
    </w:p>
    <w:p>
      <w:pPr>
        <w:tabs>
          <w:tab w:val="left" w:pos="709"/>
          <w:tab w:val="left" w:pos="6930"/>
          <w:tab w:val="right" w:pos="8880"/>
        </w:tabs>
        <w:ind w:right="540"/>
        <w:jc w:val="both"/>
        <w:rPr>
          <w:sz w:val="22"/>
          <w:szCs w:val="22"/>
        </w:rPr>
      </w:pPr>
      <w:r>
        <w:rPr>
          <w:sz w:val="22"/>
          <w:szCs w:val="22"/>
        </w:rPr>
        <w:t>Sorumlu Ortak</w:t>
      </w:r>
      <w:r>
        <w:rPr>
          <w:sz w:val="22"/>
          <w:szCs w:val="22"/>
        </w:rPr>
        <w:t xml:space="preserve"> Başdenetçi, SMMM</w:t>
      </w:r>
    </w:p>
    <w:p>
      <w:pPr>
        <w:spacing w:line="240" w:lineRule="exact"/>
        <w:ind w:left="720"/>
        <w:jc w:val="both"/>
        <w:rPr>
          <w:sz w:val="22"/>
          <w:szCs w:val="22"/>
        </w:rPr>
      </w:pPr>
    </w:p>
    <w:p>
      <w:pPr>
        <w:pStyle w:val="Title"/>
        <w:rPr>
          <w:rFonts w:ascii="Times New Roman" w:hAnsi="Times New Roman"/>
          <w:sz w:val="20"/>
          <w:szCs w:val="20"/>
        </w:rPr>
      </w:pPr>
      <w:r>
        <w:rPr>
          <w:rFonts w:ascii="Times New Roman" w:hAnsi="Times New Roman"/>
          <w:sz w:val="20"/>
          <w:szCs w:val="20"/>
        </w:rPr>
        <w:br w:type="page"/>
      </w:r>
    </w:p>
    <w:p>
      <w:pPr>
        <w:jc w:val="center"/>
        <w:rPr>
          <w:b/>
          <w:bCs/>
          <w:sz w:val="22"/>
          <w:szCs w:val="22"/>
        </w:rPr>
      </w:pPr>
      <w:r>
        <w:rPr>
          <w:b/>
          <w:bCs/>
          <w:sz w:val="22"/>
          <w:szCs w:val="22"/>
        </w:rPr>
        <w:lastRenderedPageBreak/>
        <w:t>TÜRKİYE KALKINMA BANKASI A.Ş.’NİN 3</w:t>
      </w:r>
      <w:r>
        <w:rPr>
          <w:b/>
          <w:bCs/>
          <w:sz w:val="22"/>
          <w:szCs w:val="22"/>
        </w:rPr>
        <w:t>0</w:t>
      </w:r>
      <w:r>
        <w:rPr>
          <w:b/>
          <w:bCs/>
          <w:sz w:val="22"/>
          <w:szCs w:val="22"/>
        </w:rPr>
        <w:t xml:space="preserve"> </w:t>
      </w:r>
      <w:r>
        <w:rPr>
          <w:b/>
          <w:bCs/>
          <w:sz w:val="22"/>
          <w:szCs w:val="22"/>
        </w:rPr>
        <w:t>HAZİRAN</w:t>
      </w:r>
      <w:r>
        <w:rPr>
          <w:b/>
          <w:bCs/>
          <w:sz w:val="22"/>
          <w:szCs w:val="22"/>
        </w:rPr>
        <w:t xml:space="preserve"> 20</w:t>
      </w:r>
      <w:r>
        <w:rPr>
          <w:b/>
          <w:bCs/>
          <w:sz w:val="22"/>
          <w:szCs w:val="22"/>
        </w:rPr>
        <w:t>1</w:t>
      </w:r>
      <w:r>
        <w:rPr>
          <w:b/>
          <w:bCs/>
          <w:sz w:val="22"/>
          <w:szCs w:val="22"/>
        </w:rPr>
        <w:t>1</w:t>
      </w:r>
      <w:r>
        <w:rPr>
          <w:b/>
          <w:bCs/>
          <w:sz w:val="22"/>
          <w:szCs w:val="22"/>
        </w:rPr>
        <w:t xml:space="preserve"> TARİHİ</w:t>
      </w:r>
      <w:r>
        <w:rPr>
          <w:b/>
          <w:bCs/>
          <w:sz w:val="22"/>
          <w:szCs w:val="22"/>
        </w:rPr>
        <w:t xml:space="preserve"> </w:t>
      </w:r>
      <w:r>
        <w:rPr>
          <w:b/>
          <w:bCs/>
          <w:sz w:val="22"/>
          <w:szCs w:val="22"/>
        </w:rPr>
        <w:t xml:space="preserve">İTİBARIYLA </w:t>
      </w:r>
      <w:r>
        <w:rPr>
          <w:b/>
          <w:bCs/>
          <w:sz w:val="22"/>
          <w:szCs w:val="22"/>
        </w:rPr>
        <w:t>HAZIRLANAN</w:t>
      </w:r>
      <w:r>
        <w:rPr>
          <w:b/>
          <w:bCs/>
          <w:sz w:val="22"/>
          <w:szCs w:val="22"/>
        </w:rPr>
        <w:t xml:space="preserve"> </w:t>
      </w:r>
      <w:r>
        <w:rPr>
          <w:b/>
          <w:bCs/>
          <w:sz w:val="22"/>
          <w:szCs w:val="22"/>
        </w:rPr>
        <w:t>ALTI</w:t>
      </w:r>
      <w:r>
        <w:rPr>
          <w:b/>
          <w:bCs/>
          <w:sz w:val="22"/>
          <w:szCs w:val="22"/>
        </w:rPr>
        <w:t xml:space="preserve"> AYLIK </w:t>
      </w:r>
      <w:r>
        <w:rPr>
          <w:b/>
          <w:bCs/>
          <w:sz w:val="22"/>
          <w:szCs w:val="22"/>
        </w:rPr>
        <w:t>KONSOLİDE OLMAYAN FİNANSAL RAPORU</w:t>
      </w:r>
    </w:p>
    <w:p>
      <w:pPr>
        <w:jc w:val="both"/>
        <w:rPr>
          <w:b/>
          <w:bCs/>
          <w:sz w:val="22"/>
          <w:szCs w:val="22"/>
        </w:rPr>
      </w:pPr>
    </w:p>
    <w:tbl>
      <w:tblPr>
        <w:tblW w:w="0" w:type="auto"/>
        <w:tblLook w:val="04A0"/>
      </w:tblPr>
      <w:tblGrid>
        <w:gridCol w:w="2943"/>
        <w:gridCol w:w="4975"/>
      </w:tblGrid>
      <w:tr>
        <w:tc>
          <w:tcPr>
            <w:tcW w:w="2943" w:type="dxa"/>
          </w:tcPr>
          <w:p>
            <w:pPr>
              <w:jc w:val="both"/>
              <w:rPr>
                <w:b/>
                <w:bCs/>
                <w:sz w:val="22"/>
                <w:szCs w:val="22"/>
              </w:rPr>
            </w:pPr>
            <w:r>
              <w:rPr>
                <w:sz w:val="22"/>
                <w:szCs w:val="22"/>
              </w:rPr>
              <w:t>Yönetim Merkezinin Adresi</w:t>
            </w:r>
          </w:p>
        </w:tc>
        <w:tc>
          <w:tcPr>
            <w:tcW w:w="4975" w:type="dxa"/>
          </w:tcPr>
          <w:p>
            <w:pPr>
              <w:jc w:val="both"/>
              <w:rPr>
                <w:b/>
                <w:bCs/>
                <w:sz w:val="22"/>
                <w:szCs w:val="22"/>
              </w:rPr>
            </w:pPr>
            <w:r>
              <w:rPr>
                <w:sz w:val="22"/>
                <w:szCs w:val="22"/>
              </w:rPr>
              <w:t>: Necatibey Cad. No: 98</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P.K.06100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Bakanlıklar/ANKARA</w:t>
            </w:r>
          </w:p>
        </w:tc>
      </w:tr>
      <w:tr>
        <w:tc>
          <w:tcPr>
            <w:tcW w:w="2943" w:type="dxa"/>
          </w:tcPr>
          <w:p>
            <w:pPr>
              <w:jc w:val="both"/>
              <w:rPr>
                <w:b/>
                <w:bCs/>
                <w:sz w:val="22"/>
                <w:szCs w:val="22"/>
              </w:rPr>
            </w:pPr>
            <w:r>
              <w:rPr>
                <w:sz w:val="22"/>
                <w:szCs w:val="22"/>
              </w:rPr>
              <w:t>Telefon ve Faks Numaraları</w:t>
            </w:r>
          </w:p>
        </w:tc>
        <w:tc>
          <w:tcPr>
            <w:tcW w:w="4975" w:type="dxa"/>
          </w:tcPr>
          <w:p>
            <w:pPr>
              <w:jc w:val="both"/>
              <w:rPr>
                <w:b/>
                <w:bCs/>
                <w:sz w:val="22"/>
                <w:szCs w:val="22"/>
              </w:rPr>
            </w:pPr>
            <w:r>
              <w:rPr>
                <w:sz w:val="22"/>
                <w:szCs w:val="22"/>
              </w:rPr>
              <w:t>: Tel :   0312 231 84 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Faks:  0312 231 43 41</w:t>
            </w:r>
          </w:p>
        </w:tc>
      </w:tr>
      <w:tr>
        <w:tc>
          <w:tcPr>
            <w:tcW w:w="2943" w:type="dxa"/>
          </w:tcPr>
          <w:p>
            <w:pPr>
              <w:jc w:val="both"/>
              <w:rPr>
                <w:b/>
                <w:bCs/>
                <w:sz w:val="22"/>
                <w:szCs w:val="22"/>
              </w:rPr>
            </w:pPr>
            <w:r>
              <w:rPr>
                <w:sz w:val="22"/>
                <w:szCs w:val="22"/>
              </w:rPr>
              <w:t>İnternet Sayfası Adresi</w:t>
            </w:r>
          </w:p>
        </w:tc>
        <w:tc>
          <w:tcPr>
            <w:tcW w:w="4975" w:type="dxa"/>
          </w:tcPr>
          <w:p>
            <w:pPr>
              <w:jc w:val="both"/>
              <w:rPr>
                <w:b/>
                <w:bCs/>
                <w:sz w:val="22"/>
                <w:szCs w:val="22"/>
              </w:rPr>
            </w:pPr>
            <w:r>
              <w:rPr>
                <w:sz w:val="22"/>
                <w:szCs w:val="22"/>
              </w:rPr>
              <w:t>: http://www.kalkinma.com.tr</w:t>
            </w:r>
          </w:p>
        </w:tc>
      </w:tr>
      <w:tr>
        <w:tc>
          <w:tcPr>
            <w:tcW w:w="2943" w:type="dxa"/>
          </w:tcPr>
          <w:p>
            <w:pPr>
              <w:jc w:val="both"/>
              <w:rPr>
                <w:b/>
                <w:bCs/>
                <w:sz w:val="22"/>
                <w:szCs w:val="22"/>
              </w:rPr>
            </w:pPr>
            <w:r>
              <w:rPr>
                <w:sz w:val="22"/>
                <w:szCs w:val="22"/>
              </w:rPr>
              <w:t>Elektronik Posta Adresi</w:t>
            </w:r>
          </w:p>
        </w:tc>
        <w:tc>
          <w:tcPr>
            <w:tcW w:w="4975" w:type="dxa"/>
          </w:tcPr>
          <w:p>
            <w:pPr>
              <w:jc w:val="both"/>
              <w:rPr>
                <w:b/>
                <w:bCs/>
                <w:sz w:val="22"/>
                <w:szCs w:val="22"/>
              </w:rPr>
            </w:pPr>
            <w:r>
              <w:rPr>
                <w:sz w:val="22"/>
                <w:szCs w:val="22"/>
              </w:rPr>
              <w:t>: muhasebe@kalkinma.com.tr</w:t>
            </w:r>
          </w:p>
        </w:tc>
      </w:tr>
    </w:tbl>
    <w:p>
      <w:pPr>
        <w:jc w:val="both"/>
        <w:rPr>
          <w:b/>
          <w:bCs/>
          <w:sz w:val="22"/>
          <w:szCs w:val="22"/>
        </w:rPr>
      </w:pPr>
    </w:p>
    <w:p>
      <w:pPr>
        <w:pStyle w:val="BodyText"/>
        <w:rPr>
          <w:sz w:val="22"/>
          <w:szCs w:val="22"/>
        </w:rPr>
      </w:pPr>
      <w:r>
        <w:rPr>
          <w:sz w:val="22"/>
          <w:szCs w:val="22"/>
        </w:rPr>
        <w:t>Bankacılık Düzenleme ve Denetleme Kurumu tarafından düzenlenen Bankalarca Kamuya Açıklanacak Finansal Tablolar ile Bunlara İlişkin Açıklama ve Dipnotlar Hakkında Tebliğe göre hazırlanan</w:t>
      </w:r>
      <w:r>
        <w:rPr>
          <w:sz w:val="22"/>
          <w:szCs w:val="22"/>
        </w:rPr>
        <w:t xml:space="preserve"> altı</w:t>
      </w:r>
      <w:r>
        <w:rPr>
          <w:sz w:val="22"/>
          <w:szCs w:val="22"/>
        </w:rPr>
        <w:t xml:space="preserve"> aylık</w:t>
      </w:r>
      <w:r>
        <w:rPr>
          <w:sz w:val="22"/>
          <w:szCs w:val="22"/>
        </w:rPr>
        <w:t xml:space="preserve"> </w:t>
      </w:r>
      <w:r>
        <w:rPr>
          <w:sz w:val="22"/>
          <w:szCs w:val="22"/>
        </w:rPr>
        <w:t>konsolide olmayan finansal rapor aşağıda yer alan bölümlerden oluşmaktadır.</w:t>
      </w:r>
    </w:p>
    <w:p>
      <w:pPr>
        <w:pStyle w:val="BodyText"/>
        <w:rPr>
          <w:sz w:val="22"/>
          <w:szCs w:val="22"/>
        </w:rPr>
      </w:pPr>
    </w:p>
    <w:p>
      <w:pPr>
        <w:numPr>
          <w:ilvl w:val="0"/>
          <w:numId w:val="9"/>
        </w:numPr>
        <w:jc w:val="both"/>
        <w:rPr>
          <w:sz w:val="22"/>
          <w:szCs w:val="22"/>
        </w:rPr>
      </w:pPr>
      <w:r>
        <w:rPr>
          <w:sz w:val="22"/>
          <w:szCs w:val="22"/>
        </w:rPr>
        <w:t>BANKA HAKKINDA GENEL BİLGİLER</w:t>
      </w:r>
    </w:p>
    <w:p>
      <w:pPr>
        <w:numPr>
          <w:ilvl w:val="0"/>
          <w:numId w:val="9"/>
        </w:numPr>
        <w:jc w:val="both"/>
        <w:rPr>
          <w:sz w:val="22"/>
          <w:szCs w:val="22"/>
        </w:rPr>
      </w:pPr>
      <w:r>
        <w:rPr>
          <w:sz w:val="22"/>
          <w:szCs w:val="22"/>
        </w:rPr>
        <w:t>BANKA</w:t>
      </w:r>
      <w:r>
        <w:rPr>
          <w:sz w:val="22"/>
          <w:szCs w:val="22"/>
        </w:rPr>
        <w:t>’</w:t>
      </w:r>
      <w:r>
        <w:rPr>
          <w:sz w:val="22"/>
          <w:szCs w:val="22"/>
        </w:rPr>
        <w:t>NIN KONSOLİDE OLMAYAN FİNANSAL TABLOLARI</w:t>
      </w:r>
    </w:p>
    <w:p>
      <w:pPr>
        <w:numPr>
          <w:ilvl w:val="0"/>
          <w:numId w:val="9"/>
        </w:numPr>
        <w:rPr>
          <w:sz w:val="22"/>
          <w:szCs w:val="22"/>
        </w:rPr>
      </w:pPr>
      <w:r>
        <w:rPr>
          <w:sz w:val="22"/>
          <w:szCs w:val="22"/>
        </w:rPr>
        <w:t>İLGİLİ DÖNEMDE UYGULANAN MUHASEBE POLİTİKALARINA İLİŞKİN AÇIKLAMALAR</w:t>
      </w:r>
    </w:p>
    <w:p>
      <w:pPr>
        <w:numPr>
          <w:ilvl w:val="0"/>
          <w:numId w:val="9"/>
        </w:numPr>
        <w:jc w:val="both"/>
        <w:rPr>
          <w:sz w:val="22"/>
          <w:szCs w:val="22"/>
        </w:rPr>
      </w:pPr>
      <w:r>
        <w:rPr>
          <w:sz w:val="22"/>
          <w:szCs w:val="22"/>
        </w:rPr>
        <w:t>BANKA</w:t>
      </w:r>
      <w:r>
        <w:rPr>
          <w:sz w:val="22"/>
          <w:szCs w:val="22"/>
        </w:rPr>
        <w:t>’</w:t>
      </w:r>
      <w:r>
        <w:rPr>
          <w:sz w:val="22"/>
          <w:szCs w:val="22"/>
        </w:rPr>
        <w:t>NIN MALİ BÜNYESİNE İLİŞKİN BİLGİLER</w:t>
      </w:r>
    </w:p>
    <w:p>
      <w:pPr>
        <w:numPr>
          <w:ilvl w:val="0"/>
          <w:numId w:val="9"/>
        </w:numPr>
        <w:rPr>
          <w:sz w:val="22"/>
          <w:szCs w:val="22"/>
        </w:rPr>
      </w:pPr>
      <w:r>
        <w:rPr>
          <w:sz w:val="22"/>
          <w:szCs w:val="22"/>
        </w:rPr>
        <w:t>KONSOLİDE OLMAYAN FİNANSAL</w:t>
      </w:r>
      <w:r>
        <w:rPr>
          <w:sz w:val="22"/>
          <w:szCs w:val="22"/>
        </w:rPr>
        <w:t xml:space="preserve"> </w:t>
      </w:r>
      <w:r>
        <w:rPr>
          <w:sz w:val="22"/>
          <w:szCs w:val="22"/>
        </w:rPr>
        <w:t>TABLOLARA İLİŞKİN AÇIKLAMA VE DİPNOTLAR</w:t>
      </w:r>
    </w:p>
    <w:p>
      <w:pPr>
        <w:numPr>
          <w:ilvl w:val="0"/>
          <w:numId w:val="9"/>
        </w:numPr>
        <w:jc w:val="both"/>
        <w:rPr>
          <w:sz w:val="22"/>
          <w:szCs w:val="22"/>
        </w:rPr>
      </w:pPr>
      <w:r>
        <w:rPr>
          <w:sz w:val="22"/>
          <w:szCs w:val="22"/>
        </w:rPr>
        <w:t xml:space="preserve">BAĞIMSIZ </w:t>
      </w:r>
      <w:r>
        <w:rPr>
          <w:sz w:val="22"/>
          <w:szCs w:val="22"/>
        </w:rPr>
        <w:t xml:space="preserve">SINIRLI </w:t>
      </w:r>
      <w:r>
        <w:rPr>
          <w:sz w:val="22"/>
          <w:szCs w:val="22"/>
        </w:rPr>
        <w:t xml:space="preserve"> </w:t>
      </w:r>
      <w:r>
        <w:rPr>
          <w:sz w:val="22"/>
          <w:szCs w:val="22"/>
        </w:rPr>
        <w:t>DENETİM RAPORU</w:t>
      </w:r>
      <w:r>
        <w:rPr>
          <w:sz w:val="22"/>
          <w:szCs w:val="22"/>
        </w:rPr>
        <w:t>NA İLİŞKİN AÇIKLAMALAR</w:t>
      </w:r>
    </w:p>
    <w:p>
      <w:pPr>
        <w:ind w:firstLine="720"/>
        <w:jc w:val="both"/>
        <w:rPr>
          <w:sz w:val="22"/>
          <w:szCs w:val="22"/>
        </w:rPr>
      </w:pPr>
    </w:p>
    <w:p>
      <w:pPr>
        <w:pStyle w:val="BodyText"/>
        <w:rPr>
          <w:sz w:val="22"/>
          <w:szCs w:val="22"/>
        </w:rPr>
      </w:pPr>
      <w:r>
        <w:rPr>
          <w:sz w:val="22"/>
          <w:szCs w:val="22"/>
        </w:rPr>
        <w:t>Bu raporda yer alan konsolide olmayan</w:t>
      </w:r>
      <w:r>
        <w:rPr>
          <w:sz w:val="22"/>
          <w:szCs w:val="22"/>
        </w:rPr>
        <w:t xml:space="preserve"> </w:t>
      </w:r>
      <w:r>
        <w:rPr>
          <w:sz w:val="22"/>
          <w:szCs w:val="22"/>
        </w:rPr>
        <w:t>altı</w:t>
      </w:r>
      <w:r>
        <w:rPr>
          <w:sz w:val="22"/>
          <w:szCs w:val="22"/>
        </w:rPr>
        <w:t xml:space="preserve"> aylık </w:t>
      </w:r>
      <w:r>
        <w:rPr>
          <w:sz w:val="22"/>
          <w:szCs w:val="22"/>
        </w:rPr>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w:t>
      </w:r>
      <w:r>
        <w:rPr>
          <w:b/>
          <w:bCs/>
          <w:sz w:val="22"/>
          <w:szCs w:val="22"/>
        </w:rPr>
        <w:t xml:space="preserve"> Bin Türk Lirası</w:t>
      </w:r>
      <w:r>
        <w:rPr>
          <w:sz w:val="22"/>
          <w:szCs w:val="22"/>
        </w:rPr>
        <w:t xml:space="preserve"> cinsinden hazırlanmış olup, bağımsız </w:t>
      </w:r>
      <w:r>
        <w:rPr>
          <w:sz w:val="22"/>
          <w:szCs w:val="22"/>
        </w:rPr>
        <w:t xml:space="preserve">sınırlı </w:t>
      </w:r>
      <w:r>
        <w:rPr>
          <w:sz w:val="22"/>
          <w:szCs w:val="22"/>
        </w:rPr>
        <w:t>denetime tabi tutulmuş ve ilişikte sunulmuştur.</w:t>
      </w:r>
    </w:p>
    <w:p>
      <w:pPr>
        <w:jc w:val="both"/>
        <w:rPr>
          <w:sz w:val="20"/>
          <w:szCs w:val="20"/>
        </w:rPr>
      </w:pPr>
    </w:p>
    <w:p>
      <w:pPr>
        <w:jc w:val="both"/>
        <w:rPr>
          <w:sz w:val="22"/>
          <w:szCs w:val="22"/>
        </w:rPr>
      </w:pPr>
    </w:p>
    <w:tbl>
      <w:tblPr>
        <w:tblW w:w="9976" w:type="dxa"/>
        <w:jc w:val="center"/>
        <w:tblLook w:val="04A0"/>
      </w:tblPr>
      <w:tblGrid>
        <w:gridCol w:w="2494"/>
        <w:gridCol w:w="2494"/>
        <w:gridCol w:w="2494"/>
        <w:gridCol w:w="2494"/>
      </w:tblGrid>
      <w:tr>
        <w:trPr>
          <w:jc w:val="center"/>
        </w:trPr>
        <w:tc>
          <w:tcPr>
            <w:tcW w:w="2494" w:type="dxa"/>
            <w:vAlign w:val="bottom"/>
          </w:tcPr>
          <w:p>
            <w:pPr>
              <w:spacing w:line="240" w:lineRule="atLeast"/>
              <w:jc w:val="center"/>
              <w:rPr>
                <w:b/>
                <w:bCs/>
                <w:sz w:val="20"/>
                <w:szCs w:val="20"/>
              </w:rPr>
            </w:pPr>
            <w:r>
              <w:rPr>
                <w:b/>
                <w:sz w:val="20"/>
                <w:szCs w:val="20"/>
              </w:rPr>
              <w:t>Ahmet YAMAN</w:t>
            </w:r>
          </w:p>
        </w:tc>
        <w:tc>
          <w:tcPr>
            <w:tcW w:w="2494" w:type="dxa"/>
            <w:vAlign w:val="bottom"/>
          </w:tcPr>
          <w:p>
            <w:pPr>
              <w:spacing w:line="240" w:lineRule="atLeast"/>
              <w:jc w:val="center"/>
              <w:rPr>
                <w:b/>
                <w:bCs/>
                <w:sz w:val="20"/>
                <w:szCs w:val="20"/>
              </w:rPr>
            </w:pPr>
            <w:r>
              <w:rPr>
                <w:b/>
                <w:sz w:val="20"/>
                <w:szCs w:val="20"/>
              </w:rPr>
              <w:t>Metin PEHLİVAN</w:t>
            </w:r>
          </w:p>
        </w:tc>
        <w:tc>
          <w:tcPr>
            <w:tcW w:w="2494" w:type="dxa"/>
            <w:vAlign w:val="bottom"/>
          </w:tcPr>
          <w:p>
            <w:pPr>
              <w:spacing w:line="240" w:lineRule="atLeast"/>
              <w:jc w:val="center"/>
              <w:rPr>
                <w:b/>
                <w:bCs/>
                <w:sz w:val="20"/>
                <w:szCs w:val="20"/>
              </w:rPr>
            </w:pPr>
            <w:r>
              <w:rPr>
                <w:b/>
                <w:bCs/>
                <w:sz w:val="20"/>
                <w:szCs w:val="20"/>
              </w:rPr>
              <w:t>İrfan TOKGÖZ</w:t>
            </w:r>
          </w:p>
        </w:tc>
        <w:tc>
          <w:tcPr>
            <w:tcW w:w="2494" w:type="dxa"/>
            <w:vAlign w:val="bottom"/>
          </w:tcPr>
          <w:p>
            <w:pPr>
              <w:spacing w:line="240" w:lineRule="atLeast"/>
              <w:jc w:val="center"/>
              <w:rPr>
                <w:b/>
                <w:bCs/>
                <w:sz w:val="20"/>
                <w:szCs w:val="20"/>
              </w:rPr>
            </w:pPr>
            <w:r>
              <w:rPr>
                <w:b/>
                <w:bCs/>
                <w:sz w:val="20"/>
                <w:szCs w:val="20"/>
              </w:rPr>
              <w:t>Özcan TENGİLİMOĞLU</w:t>
            </w:r>
          </w:p>
        </w:tc>
      </w:tr>
      <w:tr>
        <w:trPr>
          <w:jc w:val="center"/>
        </w:trPr>
        <w:tc>
          <w:tcPr>
            <w:tcW w:w="2494" w:type="dxa"/>
            <w:vAlign w:val="bottom"/>
          </w:tcPr>
          <w:p>
            <w:pPr>
              <w:spacing w:line="240" w:lineRule="atLeast"/>
              <w:jc w:val="center"/>
              <w:rPr>
                <w:b/>
                <w:bCs/>
                <w:sz w:val="20"/>
                <w:szCs w:val="20"/>
              </w:rPr>
            </w:pPr>
            <w:r>
              <w:rPr>
                <w:b/>
                <w:sz w:val="20"/>
                <w:szCs w:val="20"/>
              </w:rPr>
              <w:t xml:space="preserve">Yönetim Kurulu </w:t>
            </w:r>
          </w:p>
        </w:tc>
        <w:tc>
          <w:tcPr>
            <w:tcW w:w="2494" w:type="dxa"/>
            <w:vAlign w:val="bottom"/>
          </w:tcPr>
          <w:p>
            <w:pPr>
              <w:spacing w:line="240" w:lineRule="atLeast"/>
              <w:jc w:val="center"/>
              <w:rPr>
                <w:b/>
                <w:bCs/>
                <w:sz w:val="20"/>
                <w:szCs w:val="20"/>
              </w:rPr>
            </w:pPr>
            <w:r>
              <w:rPr>
                <w:b/>
                <w:bCs/>
                <w:sz w:val="20"/>
                <w:szCs w:val="20"/>
              </w:rPr>
              <w:t>Yönetim Kurulu Üyesi ve</w:t>
            </w:r>
          </w:p>
        </w:tc>
        <w:tc>
          <w:tcPr>
            <w:tcW w:w="2494" w:type="dxa"/>
            <w:vAlign w:val="bottom"/>
          </w:tcPr>
          <w:p>
            <w:pPr>
              <w:spacing w:line="240" w:lineRule="atLeast"/>
              <w:jc w:val="center"/>
              <w:rPr>
                <w:b/>
                <w:bCs/>
                <w:sz w:val="20"/>
                <w:szCs w:val="20"/>
              </w:rPr>
            </w:pPr>
            <w:r>
              <w:rPr>
                <w:b/>
                <w:bCs/>
                <w:sz w:val="20"/>
                <w:szCs w:val="20"/>
              </w:rPr>
              <w:t>Denetim Komitesi</w:t>
            </w:r>
          </w:p>
        </w:tc>
        <w:tc>
          <w:tcPr>
            <w:tcW w:w="2494" w:type="dxa"/>
            <w:vAlign w:val="bottom"/>
          </w:tcPr>
          <w:p>
            <w:pPr>
              <w:spacing w:line="240" w:lineRule="atLeast"/>
              <w:jc w:val="center"/>
              <w:rPr>
                <w:b/>
                <w:bCs/>
                <w:sz w:val="20"/>
                <w:szCs w:val="20"/>
              </w:rPr>
            </w:pPr>
            <w:r>
              <w:rPr>
                <w:b/>
                <w:bCs/>
                <w:sz w:val="20"/>
                <w:szCs w:val="20"/>
              </w:rPr>
              <w:t>Denetim Komitesi</w:t>
            </w:r>
          </w:p>
        </w:tc>
      </w:tr>
      <w:tr>
        <w:trPr>
          <w:jc w:val="center"/>
        </w:trPr>
        <w:tc>
          <w:tcPr>
            <w:tcW w:w="2494" w:type="dxa"/>
            <w:vAlign w:val="bottom"/>
          </w:tcPr>
          <w:p>
            <w:pPr>
              <w:spacing w:line="240" w:lineRule="atLeast"/>
              <w:jc w:val="center"/>
              <w:rPr>
                <w:b/>
                <w:bCs/>
                <w:sz w:val="20"/>
                <w:szCs w:val="20"/>
              </w:rPr>
            </w:pPr>
            <w:r>
              <w:rPr>
                <w:b/>
                <w:sz w:val="20"/>
                <w:szCs w:val="20"/>
              </w:rPr>
              <w:t>Başkan</w:t>
            </w:r>
            <w:r>
              <w:rPr>
                <w:b/>
                <w:sz w:val="20"/>
                <w:szCs w:val="20"/>
              </w:rPr>
              <w:t>ı</w:t>
            </w:r>
            <w:r>
              <w:rPr>
                <w:b/>
                <w:sz w:val="20"/>
                <w:szCs w:val="20"/>
              </w:rPr>
              <w:t xml:space="preserve"> (V.)</w:t>
            </w:r>
          </w:p>
        </w:tc>
        <w:tc>
          <w:tcPr>
            <w:tcW w:w="2494" w:type="dxa"/>
          </w:tcPr>
          <w:p>
            <w:pPr>
              <w:spacing w:line="240" w:lineRule="atLeast"/>
              <w:jc w:val="center"/>
              <w:rPr>
                <w:b/>
                <w:bCs/>
                <w:sz w:val="20"/>
                <w:szCs w:val="20"/>
              </w:rPr>
            </w:pPr>
            <w:r>
              <w:rPr>
                <w:b/>
                <w:bCs/>
                <w:sz w:val="20"/>
                <w:szCs w:val="20"/>
              </w:rPr>
              <w:t>Genel Müdür (V.)</w:t>
            </w:r>
          </w:p>
        </w:tc>
        <w:tc>
          <w:tcPr>
            <w:tcW w:w="2494" w:type="dxa"/>
            <w:vAlign w:val="bottom"/>
          </w:tcPr>
          <w:p>
            <w:pPr>
              <w:spacing w:line="240" w:lineRule="atLeast"/>
              <w:jc w:val="center"/>
              <w:rPr>
                <w:b/>
                <w:bCs/>
                <w:sz w:val="20"/>
                <w:szCs w:val="20"/>
              </w:rPr>
            </w:pPr>
            <w:r>
              <w:rPr>
                <w:b/>
                <w:bCs/>
                <w:sz w:val="20"/>
                <w:szCs w:val="20"/>
              </w:rPr>
              <w:t>Başkanı</w:t>
            </w:r>
          </w:p>
        </w:tc>
        <w:tc>
          <w:tcPr>
            <w:tcW w:w="2494" w:type="dxa"/>
            <w:vAlign w:val="bottom"/>
          </w:tcPr>
          <w:p>
            <w:pPr>
              <w:spacing w:line="240" w:lineRule="atLeast"/>
              <w:jc w:val="center"/>
              <w:rPr>
                <w:b/>
                <w:bCs/>
                <w:sz w:val="20"/>
                <w:szCs w:val="20"/>
              </w:rPr>
            </w:pPr>
            <w:r>
              <w:rPr>
                <w:b/>
                <w:bCs/>
                <w:sz w:val="20"/>
                <w:szCs w:val="20"/>
              </w:rPr>
              <w:t>Üyesi</w:t>
            </w: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tbl>
      <w:tblPr>
        <w:tblW w:w="0" w:type="auto"/>
        <w:jc w:val="center"/>
        <w:tblLook w:val="04A0"/>
      </w:tblPr>
      <w:tblGrid>
        <w:gridCol w:w="3316"/>
        <w:gridCol w:w="3317"/>
      </w:tblGrid>
      <w:tr>
        <w:trPr>
          <w:jc w:val="center"/>
        </w:trPr>
        <w:tc>
          <w:tcPr>
            <w:tcW w:w="3316" w:type="dxa"/>
          </w:tcPr>
          <w:p>
            <w:pPr>
              <w:spacing w:line="0" w:lineRule="atLeast"/>
              <w:jc w:val="center"/>
              <w:rPr>
                <w:b/>
                <w:sz w:val="20"/>
                <w:szCs w:val="20"/>
              </w:rPr>
            </w:pPr>
            <w:r>
              <w:rPr>
                <w:b/>
                <w:bCs/>
                <w:sz w:val="20"/>
                <w:szCs w:val="20"/>
              </w:rPr>
              <w:t>Adnan YALÇINCI</w:t>
            </w:r>
          </w:p>
        </w:tc>
        <w:tc>
          <w:tcPr>
            <w:tcW w:w="3317" w:type="dxa"/>
          </w:tcPr>
          <w:p>
            <w:pPr>
              <w:spacing w:line="0" w:lineRule="atLeast"/>
              <w:jc w:val="center"/>
              <w:rPr>
                <w:b/>
                <w:sz w:val="20"/>
                <w:szCs w:val="20"/>
              </w:rPr>
            </w:pPr>
            <w:r>
              <w:rPr>
                <w:b/>
                <w:bCs/>
                <w:sz w:val="20"/>
                <w:szCs w:val="20"/>
              </w:rPr>
              <w:t>Aydın TOSUN</w:t>
            </w:r>
          </w:p>
        </w:tc>
      </w:tr>
      <w:tr>
        <w:trPr>
          <w:jc w:val="center"/>
        </w:trPr>
        <w:tc>
          <w:tcPr>
            <w:tcW w:w="3316" w:type="dxa"/>
          </w:tcPr>
          <w:p>
            <w:pPr>
              <w:spacing w:line="0" w:lineRule="atLeast"/>
              <w:jc w:val="center"/>
              <w:rPr>
                <w:b/>
                <w:sz w:val="20"/>
                <w:szCs w:val="20"/>
              </w:rPr>
            </w:pPr>
            <w:r>
              <w:rPr>
                <w:b/>
                <w:bCs/>
                <w:sz w:val="20"/>
                <w:szCs w:val="20"/>
              </w:rPr>
              <w:t>Finansal Raporlamadan Sorumlu</w:t>
            </w:r>
          </w:p>
        </w:tc>
        <w:tc>
          <w:tcPr>
            <w:tcW w:w="3317" w:type="dxa"/>
          </w:tcPr>
          <w:p>
            <w:pPr>
              <w:spacing w:line="0" w:lineRule="atLeast"/>
              <w:jc w:val="center"/>
              <w:rPr>
                <w:b/>
                <w:sz w:val="20"/>
                <w:szCs w:val="20"/>
              </w:rPr>
            </w:pPr>
            <w:r>
              <w:rPr>
                <w:b/>
                <w:bCs/>
                <w:sz w:val="20"/>
                <w:szCs w:val="20"/>
              </w:rPr>
              <w:t>Mali İşler Daire Başkanı</w:t>
            </w:r>
          </w:p>
        </w:tc>
      </w:tr>
      <w:tr>
        <w:trPr>
          <w:jc w:val="center"/>
        </w:trPr>
        <w:tc>
          <w:tcPr>
            <w:tcW w:w="3316" w:type="dxa"/>
          </w:tcPr>
          <w:p>
            <w:pPr>
              <w:spacing w:line="0" w:lineRule="atLeast"/>
              <w:jc w:val="center"/>
              <w:rPr>
                <w:b/>
                <w:sz w:val="20"/>
                <w:szCs w:val="20"/>
              </w:rPr>
            </w:pPr>
            <w:r>
              <w:rPr>
                <w:b/>
                <w:bCs/>
                <w:sz w:val="20"/>
                <w:szCs w:val="20"/>
              </w:rPr>
              <w:t>Genel Müdür Yardımcısı</w:t>
            </w:r>
          </w:p>
        </w:tc>
        <w:tc>
          <w:tcPr>
            <w:tcW w:w="3317" w:type="dxa"/>
          </w:tcPr>
          <w:p>
            <w:pPr>
              <w:spacing w:line="0" w:lineRule="atLeast"/>
              <w:jc w:val="both"/>
              <w:rPr>
                <w:b/>
                <w:sz w:val="20"/>
                <w:szCs w:val="20"/>
              </w:rPr>
            </w:pP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jc w:val="both"/>
        <w:rPr>
          <w:sz w:val="20"/>
          <w:szCs w:val="20"/>
        </w:rPr>
      </w:pPr>
    </w:p>
    <w:p>
      <w:pPr>
        <w:jc w:val="both"/>
        <w:rPr>
          <w:sz w:val="20"/>
          <w:szCs w:val="20"/>
        </w:rPr>
      </w:pPr>
    </w:p>
    <w:p>
      <w:pPr>
        <w:jc w:val="both"/>
        <w:rPr>
          <w:b/>
          <w:bCs/>
          <w:sz w:val="20"/>
          <w:szCs w:val="20"/>
        </w:rPr>
      </w:pPr>
    </w:p>
    <w:p>
      <w:pPr>
        <w:rPr>
          <w:sz w:val="22"/>
          <w:szCs w:val="22"/>
        </w:rPr>
      </w:pPr>
    </w:p>
    <w:p>
      <w:pPr>
        <w:pStyle w:val="Heading1"/>
        <w:rPr>
          <w:rFonts w:ascii="Times New Roman" w:hAnsi="Times New Roman"/>
          <w:sz w:val="22"/>
          <w:szCs w:val="22"/>
        </w:rPr>
      </w:pPr>
      <w:r>
        <w:rPr>
          <w:rFonts w:ascii="Times New Roman" w:hAnsi="Times New Roman"/>
          <w:sz w:val="22"/>
          <w:szCs w:val="22"/>
        </w:rPr>
        <w:t>Bu finansal rapor ile ilgili olarak soruların iletilebileceği yetkili personele ilişkin bilgiler :</w:t>
      </w:r>
    </w:p>
    <w:p>
      <w:pPr>
        <w:jc w:val="both"/>
        <w:rPr>
          <w:sz w:val="22"/>
          <w:szCs w:val="22"/>
        </w:rPr>
      </w:pPr>
    </w:p>
    <w:p>
      <w:pPr>
        <w:jc w:val="both"/>
        <w:rPr>
          <w:sz w:val="22"/>
          <w:szCs w:val="22"/>
        </w:rPr>
      </w:pPr>
      <w:r>
        <w:rPr>
          <w:sz w:val="22"/>
          <w:szCs w:val="22"/>
        </w:rPr>
        <w:t>Adı Soyadı/Unvanı</w:t>
      </w:r>
      <w:r>
        <w:rPr>
          <w:sz w:val="22"/>
          <w:szCs w:val="22"/>
        </w:rPr>
        <w:tab/>
        <w:t xml:space="preserve">: </w:t>
      </w:r>
      <w:r>
        <w:rPr>
          <w:sz w:val="22"/>
          <w:szCs w:val="22"/>
        </w:rPr>
        <w:t>Funda Özer</w:t>
      </w:r>
      <w:r>
        <w:rPr>
          <w:sz w:val="22"/>
          <w:szCs w:val="22"/>
        </w:rPr>
        <w:t xml:space="preserve"> / Mali İşler Müdür</w:t>
      </w:r>
      <w:r>
        <w:rPr>
          <w:sz w:val="22"/>
          <w:szCs w:val="22"/>
        </w:rPr>
        <w:t>ü</w:t>
      </w:r>
    </w:p>
    <w:p>
      <w:pPr>
        <w:jc w:val="both"/>
        <w:rPr>
          <w:sz w:val="22"/>
          <w:szCs w:val="22"/>
        </w:rPr>
      </w:pPr>
      <w:r>
        <w:rPr>
          <w:sz w:val="22"/>
          <w:szCs w:val="22"/>
        </w:rPr>
        <w:t>Tel No</w:t>
      </w:r>
      <w:r>
        <w:rPr>
          <w:sz w:val="22"/>
          <w:szCs w:val="22"/>
        </w:rPr>
        <w:tab/>
      </w:r>
      <w:r>
        <w:rPr>
          <w:sz w:val="22"/>
          <w:szCs w:val="22"/>
        </w:rPr>
        <w:tab/>
      </w:r>
      <w:r>
        <w:rPr>
          <w:sz w:val="22"/>
          <w:szCs w:val="22"/>
        </w:rPr>
        <w:tab/>
        <w:t xml:space="preserve">: 0 312 - </w:t>
      </w:r>
      <w:r>
        <w:rPr>
          <w:sz w:val="22"/>
          <w:szCs w:val="22"/>
        </w:rPr>
        <w:t xml:space="preserve">418 84 87 </w:t>
      </w:r>
    </w:p>
    <w:p>
      <w:pPr>
        <w:rPr>
          <w:sz w:val="22"/>
          <w:szCs w:val="22"/>
        </w:rPr>
      </w:pPr>
      <w:r>
        <w:rPr>
          <w:sz w:val="22"/>
          <w:szCs w:val="22"/>
        </w:rPr>
        <w:t>Faks No</w:t>
      </w:r>
      <w:r>
        <w:rPr>
          <w:sz w:val="22"/>
          <w:szCs w:val="22"/>
        </w:rPr>
        <w:tab/>
      </w:r>
      <w:r>
        <w:rPr>
          <w:sz w:val="22"/>
          <w:szCs w:val="22"/>
        </w:rPr>
        <w:tab/>
        <w:t xml:space="preserve">: 0 312 -  418 22 94 </w:t>
      </w:r>
    </w:p>
    <w:p>
      <w:pPr>
        <w:rPr>
          <w:sz w:val="22"/>
          <w:szCs w:val="22"/>
        </w:rPr>
      </w:pPr>
      <w:r>
        <w:rPr>
          <w:sz w:val="22"/>
          <w:szCs w:val="22"/>
        </w:rPr>
        <w:br w:type="page"/>
      </w:r>
    </w:p>
    <w:tbl>
      <w:tblPr>
        <w:tblW w:w="9917" w:type="dxa"/>
        <w:tblInd w:w="108" w:type="dxa"/>
        <w:tblLook w:val="04A0"/>
      </w:tblPr>
      <w:tblGrid>
        <w:gridCol w:w="737"/>
        <w:gridCol w:w="8674"/>
        <w:gridCol w:w="506"/>
      </w:tblGrid>
      <w:tr>
        <w:tc>
          <w:tcPr>
            <w:tcW w:w="737" w:type="dxa"/>
          </w:tcPr>
          <w:p>
            <w:pPr>
              <w:pStyle w:val="Title"/>
              <w:ind w:right="-154"/>
              <w:jc w:val="left"/>
              <w:rPr>
                <w:rFonts w:ascii="Times New Roman" w:hAnsi="Times New Roman"/>
                <w:sz w:val="24"/>
                <w:szCs w:val="24"/>
              </w:rPr>
            </w:pPr>
          </w:p>
        </w:tc>
        <w:tc>
          <w:tcPr>
            <w:tcW w:w="8674" w:type="dxa"/>
            <w:vAlign w:val="bottom"/>
          </w:tcPr>
          <w:p>
            <w:pPr>
              <w:pStyle w:val="Title"/>
              <w:rPr>
                <w:rFonts w:ascii="Times New Roman" w:hAnsi="Times New Roman"/>
                <w:sz w:val="20"/>
                <w:szCs w:val="20"/>
              </w:rPr>
            </w:pPr>
            <w:r>
              <w:rPr>
                <w:rFonts w:ascii="Times New Roman" w:hAnsi="Times New Roman"/>
                <w:sz w:val="20"/>
                <w:szCs w:val="20"/>
              </w:rPr>
              <w:t>BİRİNCİ BÖLÜM</w:t>
            </w:r>
          </w:p>
        </w:tc>
        <w:tc>
          <w:tcPr>
            <w:tcW w:w="506" w:type="dxa"/>
          </w:tcPr>
          <w:p>
            <w:pPr>
              <w:pStyle w:val="Title"/>
              <w:jc w:val="left"/>
              <w:rPr>
                <w:rFonts w:ascii="Times New Roman" w:hAnsi="Times New Roman"/>
                <w:sz w:val="24"/>
                <w:szCs w:val="24"/>
              </w:rPr>
            </w:pPr>
          </w:p>
        </w:tc>
      </w:tr>
      <w:tr>
        <w:trPr>
          <w:trHeight w:val="283"/>
        </w:trPr>
        <w:tc>
          <w:tcPr>
            <w:tcW w:w="737" w:type="dxa"/>
          </w:tcPr>
          <w:p>
            <w:pPr>
              <w:pStyle w:val="Title"/>
              <w:ind w:right="-154"/>
              <w:jc w:val="left"/>
              <w:rPr>
                <w:rFonts w:ascii="Times New Roman" w:hAnsi="Times New Roman"/>
                <w:sz w:val="24"/>
                <w:szCs w:val="24"/>
              </w:rPr>
            </w:pPr>
          </w:p>
        </w:tc>
        <w:tc>
          <w:tcPr>
            <w:tcW w:w="8674" w:type="dxa"/>
            <w:vAlign w:val="bottom"/>
          </w:tcPr>
          <w:p>
            <w:pPr>
              <w:jc w:val="center"/>
            </w:pPr>
            <w:r>
              <w:rPr>
                <w:b/>
                <w:bCs/>
                <w:sz w:val="20"/>
                <w:szCs w:val="20"/>
              </w:rPr>
              <w:t>Genel Bilgiler</w:t>
            </w:r>
          </w:p>
        </w:tc>
        <w:tc>
          <w:tcPr>
            <w:tcW w:w="506" w:type="dxa"/>
          </w:tcPr>
          <w:p>
            <w:pPr>
              <w:pStyle w:val="Title"/>
              <w:jc w:val="left"/>
              <w:rPr>
                <w:rFonts w:ascii="Times New Roman" w:hAnsi="Times New Roman"/>
                <w:sz w:val="24"/>
                <w:szCs w:val="24"/>
              </w:rPr>
            </w:pPr>
          </w:p>
        </w:tc>
      </w:tr>
      <w:tr>
        <w:trPr>
          <w:trHeight w:val="249"/>
        </w:trPr>
        <w:tc>
          <w:tcPr>
            <w:tcW w:w="737" w:type="dxa"/>
          </w:tcPr>
          <w:p>
            <w:pPr>
              <w:pStyle w:val="Title"/>
              <w:ind w:right="-154"/>
              <w:jc w:val="left"/>
              <w:rPr>
                <w:rFonts w:ascii="Times New Roman" w:hAnsi="Times New Roman"/>
                <w:sz w:val="24"/>
                <w:szCs w:val="24"/>
              </w:rPr>
            </w:pPr>
          </w:p>
        </w:tc>
        <w:tc>
          <w:tcPr>
            <w:tcW w:w="8674" w:type="dxa"/>
          </w:tcPr>
          <w:p>
            <w:pPr>
              <w:pStyle w:val="Title"/>
              <w:jc w:val="left"/>
              <w:rPr>
                <w:rFonts w:ascii="Times New Roman" w:hAnsi="Times New Roman"/>
                <w:sz w:val="24"/>
                <w:szCs w:val="24"/>
              </w:rPr>
            </w:pPr>
          </w:p>
        </w:tc>
        <w:tc>
          <w:tcPr>
            <w:tcW w:w="506" w:type="dxa"/>
          </w:tcPr>
          <w:p>
            <w:pPr>
              <w:pStyle w:val="Title"/>
              <w:jc w:val="left"/>
              <w:rPr>
                <w:rFonts w:ascii="Times New Roman" w:hAnsi="Times New Roman"/>
                <w:sz w:val="24"/>
                <w:szCs w:val="24"/>
              </w:rPr>
            </w:pPr>
          </w:p>
        </w:tc>
      </w:tr>
      <w:tr>
        <w:tc>
          <w:tcPr>
            <w:tcW w:w="737" w:type="dxa"/>
          </w:tcPr>
          <w:p>
            <w:pPr>
              <w:pStyle w:val="Title"/>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kuruluş tarihi, başlangıç statüsü, anılan statüde meydana gelen değişiklikleri ihtiva eden tarihçesi</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Title"/>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sermaye yapısı, yönetim ve denetimini doğrudan veya dolaylı olarak tek başına veya birlikte elinde bulunduran ortakları, varsa bu hususlarda yıl içindeki değişiklikler ile dahil olduğu gruba ilişkin açıklama</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Title"/>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yönetim kurulu başkan ve üyeleri, denetim komitesi üyeleri ile genel müdür ve yardımcılarının varsa bankada sahip olduklar</w:t>
            </w:r>
            <w:r>
              <w:rPr>
                <w:rFonts w:ascii="Times New Roman" w:hAnsi="Times New Roman"/>
                <w:b w:val="0"/>
                <w:sz w:val="20"/>
                <w:szCs w:val="20"/>
              </w:rPr>
              <w:t xml:space="preserve">ı paylara </w:t>
            </w:r>
            <w:r>
              <w:rPr>
                <w:rFonts w:ascii="Times New Roman" w:hAnsi="Times New Roman"/>
                <w:b w:val="0"/>
                <w:sz w:val="20"/>
                <w:szCs w:val="20"/>
              </w:rPr>
              <w:t>ve sorumluluk alanlarına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da nitelikli pay sahibi olan kişi ve kuruluşlara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hizmet türü ve faaliyet alanlarını içeren özet bilgi</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vAlign w:val="bottom"/>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vAlign w:val="bottom"/>
          </w:tcPr>
          <w:p>
            <w:pPr>
              <w:pStyle w:val="Title"/>
              <w:ind w:right="-154"/>
              <w:jc w:val="left"/>
              <w:rPr>
                <w:rFonts w:ascii="Times New Roman" w:hAnsi="Times New Roman"/>
                <w:sz w:val="20"/>
                <w:szCs w:val="20"/>
              </w:rPr>
            </w:pPr>
          </w:p>
        </w:tc>
        <w:tc>
          <w:tcPr>
            <w:tcW w:w="8674" w:type="dxa"/>
            <w:vAlign w:val="bottom"/>
          </w:tcPr>
          <w:p>
            <w:pPr>
              <w:jc w:val="center"/>
              <w:rPr>
                <w:b/>
                <w:bCs/>
                <w:sz w:val="20"/>
                <w:szCs w:val="20"/>
              </w:rPr>
            </w:pPr>
          </w:p>
          <w:p>
            <w:pPr>
              <w:jc w:val="center"/>
              <w:rPr>
                <w:b/>
                <w:bCs/>
                <w:sz w:val="20"/>
                <w:szCs w:val="20"/>
              </w:rPr>
            </w:pPr>
            <w:r>
              <w:rPr>
                <w:b/>
                <w:bCs/>
                <w:sz w:val="20"/>
                <w:szCs w:val="20"/>
              </w:rPr>
              <w:t>İKİNCİ BÖLÜM</w:t>
            </w:r>
          </w:p>
        </w:tc>
        <w:tc>
          <w:tcPr>
            <w:tcW w:w="506" w:type="dxa"/>
          </w:tcPr>
          <w:p>
            <w:pPr>
              <w:pStyle w:val="Title"/>
              <w:jc w:val="right"/>
              <w:rPr>
                <w:rFonts w:ascii="Times New Roman" w:hAnsi="Times New Roman"/>
                <w:b w:val="0"/>
                <w:sz w:val="20"/>
                <w:szCs w:val="20"/>
              </w:rPr>
            </w:pPr>
          </w:p>
        </w:tc>
      </w:tr>
      <w:tr>
        <w:trPr>
          <w:trHeight w:val="283"/>
        </w:trPr>
        <w:tc>
          <w:tcPr>
            <w:tcW w:w="737" w:type="dxa"/>
            <w:vAlign w:val="bottom"/>
          </w:tcPr>
          <w:p>
            <w:pPr>
              <w:pStyle w:val="Title"/>
              <w:ind w:right="-154"/>
              <w:jc w:val="left"/>
              <w:rPr>
                <w:rFonts w:ascii="Times New Roman" w:hAnsi="Times New Roman"/>
                <w:sz w:val="20"/>
                <w:szCs w:val="20"/>
              </w:rPr>
            </w:pPr>
          </w:p>
        </w:tc>
        <w:tc>
          <w:tcPr>
            <w:tcW w:w="8674" w:type="dxa"/>
            <w:vAlign w:val="bottom"/>
          </w:tcPr>
          <w:p>
            <w:pPr>
              <w:jc w:val="center"/>
            </w:pPr>
            <w:r>
              <w:rPr>
                <w:b/>
                <w:bCs/>
                <w:sz w:val="20"/>
                <w:szCs w:val="20"/>
              </w:rPr>
              <w:t>Konsolide Olmayan Finansal Tablolar</w:t>
            </w:r>
          </w:p>
        </w:tc>
        <w:tc>
          <w:tcPr>
            <w:tcW w:w="506" w:type="dxa"/>
          </w:tcPr>
          <w:p>
            <w:pPr>
              <w:pStyle w:val="Title"/>
              <w:jc w:val="right"/>
              <w:rPr>
                <w:rFonts w:ascii="Times New Roman" w:hAnsi="Times New Roman"/>
                <w:b w:val="0"/>
                <w:sz w:val="20"/>
                <w:szCs w:val="20"/>
              </w:rPr>
            </w:pPr>
          </w:p>
        </w:tc>
      </w:tr>
      <w:tr>
        <w:trPr>
          <w:trHeight w:val="249"/>
        </w:trPr>
        <w:tc>
          <w:tcPr>
            <w:tcW w:w="737" w:type="dxa"/>
            <w:vAlign w:val="bottom"/>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Bilanço</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4-5</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Nazım hesaplar tablosu</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6</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Gelir tablosu</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7</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Özkaynaklarda muhasebeleştirilen gelir-gider kalemlerine ilişkin tablo</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8</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Özkaynak değişim tablosu</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9</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Nakit akış tablosu</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10</w:t>
            </w:r>
          </w:p>
        </w:tc>
      </w:tr>
      <w:tr>
        <w:tc>
          <w:tcPr>
            <w:tcW w:w="737" w:type="dxa"/>
            <w:vAlign w:val="bottom"/>
          </w:tcPr>
          <w:p>
            <w:pPr>
              <w:pStyle w:val="Title"/>
              <w:ind w:right="-154"/>
              <w:jc w:val="left"/>
              <w:rPr>
                <w:rFonts w:ascii="Times New Roman" w:hAnsi="Times New Roman"/>
                <w:sz w:val="20"/>
                <w:szCs w:val="20"/>
              </w:rPr>
            </w:pPr>
          </w:p>
        </w:tc>
        <w:tc>
          <w:tcPr>
            <w:tcW w:w="8674" w:type="dxa"/>
            <w:vAlign w:val="bottom"/>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tcPr>
          <w:p>
            <w:pPr>
              <w:pStyle w:val="Title"/>
              <w:ind w:right="-154"/>
              <w:jc w:val="left"/>
              <w:rPr>
                <w:rFonts w:ascii="Times New Roman" w:hAnsi="Times New Roman"/>
                <w:sz w:val="20"/>
                <w:szCs w:val="20"/>
              </w:rPr>
            </w:pPr>
          </w:p>
        </w:tc>
        <w:tc>
          <w:tcPr>
            <w:tcW w:w="8674" w:type="dxa"/>
            <w:vAlign w:val="bottom"/>
          </w:tcPr>
          <w:p>
            <w:pPr>
              <w:jc w:val="center"/>
              <w:rPr>
                <w:b/>
                <w:bCs/>
                <w:sz w:val="20"/>
                <w:szCs w:val="20"/>
                <w:lang w:val="de-DE"/>
              </w:rPr>
            </w:pPr>
          </w:p>
          <w:p>
            <w:pPr>
              <w:jc w:val="center"/>
              <w:rPr>
                <w:b/>
                <w:bCs/>
                <w:sz w:val="20"/>
                <w:szCs w:val="20"/>
                <w:lang w:val="de-DE"/>
              </w:rPr>
            </w:pPr>
            <w:r>
              <w:rPr>
                <w:b/>
                <w:bCs/>
                <w:sz w:val="20"/>
                <w:szCs w:val="20"/>
                <w:lang w:val="de-DE"/>
              </w:rPr>
              <w:t>ÜÇÜNCÜ BÖLÜM</w:t>
            </w:r>
          </w:p>
        </w:tc>
        <w:tc>
          <w:tcPr>
            <w:tcW w:w="506" w:type="dxa"/>
          </w:tcPr>
          <w:p>
            <w:pPr>
              <w:pStyle w:val="Title"/>
              <w:jc w:val="right"/>
              <w:rPr>
                <w:rFonts w:ascii="Times New Roman" w:hAnsi="Times New Roman"/>
                <w:b w:val="0"/>
                <w:sz w:val="20"/>
                <w:szCs w:val="20"/>
              </w:rPr>
            </w:pPr>
          </w:p>
        </w:tc>
      </w:tr>
      <w:tr>
        <w:trPr>
          <w:trHeight w:val="283"/>
        </w:trPr>
        <w:tc>
          <w:tcPr>
            <w:tcW w:w="737" w:type="dxa"/>
          </w:tcPr>
          <w:p>
            <w:pPr>
              <w:pStyle w:val="Title"/>
              <w:ind w:right="-154"/>
              <w:jc w:val="left"/>
              <w:rPr>
                <w:rFonts w:ascii="Times New Roman" w:hAnsi="Times New Roman"/>
                <w:sz w:val="20"/>
                <w:szCs w:val="20"/>
              </w:rPr>
            </w:pPr>
          </w:p>
        </w:tc>
        <w:tc>
          <w:tcPr>
            <w:tcW w:w="8674" w:type="dxa"/>
            <w:vAlign w:val="bottom"/>
          </w:tcPr>
          <w:p>
            <w:pPr>
              <w:jc w:val="center"/>
              <w:rPr>
                <w:b/>
                <w:bCs/>
                <w:sz w:val="20"/>
                <w:szCs w:val="20"/>
              </w:rPr>
            </w:pPr>
            <w:r>
              <w:rPr>
                <w:b/>
                <w:bCs/>
                <w:sz w:val="20"/>
                <w:szCs w:val="20"/>
              </w:rPr>
              <w:t>Muhasebe Politikaları</w:t>
            </w:r>
          </w:p>
        </w:tc>
        <w:tc>
          <w:tcPr>
            <w:tcW w:w="506" w:type="dxa"/>
          </w:tcPr>
          <w:p>
            <w:pPr>
              <w:pStyle w:val="Title"/>
              <w:jc w:val="right"/>
              <w:rPr>
                <w:rFonts w:ascii="Times New Roman" w:hAnsi="Times New Roman"/>
                <w:b w:val="0"/>
                <w:sz w:val="20"/>
                <w:szCs w:val="20"/>
              </w:rPr>
            </w:pPr>
          </w:p>
        </w:tc>
      </w:tr>
      <w:tr>
        <w:trPr>
          <w:trHeight w:val="249"/>
        </w:trPr>
        <w:tc>
          <w:tcPr>
            <w:tcW w:w="737" w:type="dxa"/>
          </w:tcPr>
          <w:p>
            <w:pPr>
              <w:pStyle w:val="Title"/>
              <w:ind w:right="-154"/>
              <w:jc w:val="left"/>
              <w:rPr>
                <w:rFonts w:ascii="Times New Roman" w:hAnsi="Times New Roman"/>
                <w:sz w:val="20"/>
                <w:szCs w:val="20"/>
              </w:rPr>
            </w:pPr>
          </w:p>
        </w:tc>
        <w:tc>
          <w:tcPr>
            <w:tcW w:w="8674" w:type="dxa"/>
          </w:tcPr>
          <w:p>
            <w:pPr>
              <w:pStyle w:val="Title"/>
              <w:jc w:val="left"/>
              <w:rPr>
                <w:rFonts w:ascii="Times New Roman" w:hAnsi="Times New Roman"/>
                <w:b w:val="0"/>
                <w:sz w:val="20"/>
                <w:szCs w:val="20"/>
              </w:rPr>
            </w:pPr>
          </w:p>
        </w:tc>
        <w:tc>
          <w:tcPr>
            <w:tcW w:w="506" w:type="dxa"/>
          </w:tcPr>
          <w:p>
            <w:pPr>
              <w:pStyle w:val="Title"/>
              <w:jc w:val="right"/>
              <w:rPr>
                <w:rFonts w:ascii="Times New Roman" w:hAnsi="Times New Roman"/>
                <w:b w:val="0"/>
                <w:sz w:val="20"/>
                <w:szCs w:val="20"/>
              </w:rPr>
            </w:pP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Sunum esaslarına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11</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Finansal araçların kullanım stratejisi ve yabancı pa</w:t>
            </w:r>
            <w:r>
              <w:rPr>
                <w:rFonts w:ascii="Times New Roman" w:hAnsi="Times New Roman"/>
                <w:b w:val="0"/>
                <w:sz w:val="20"/>
                <w:szCs w:val="20"/>
              </w:rPr>
              <w:t>ra cinsinden işlemlere ilişkin a</w:t>
            </w:r>
            <w:r>
              <w:rPr>
                <w:rFonts w:ascii="Times New Roman" w:hAnsi="Times New Roman"/>
                <w:b w:val="0"/>
                <w:sz w:val="20"/>
                <w:szCs w:val="20"/>
              </w:rPr>
              <w:t>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1</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Vadeli işlem ve opsiyon sözleşmeleri ile türev ürünlere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Faiz gelir ve giderine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Ücret ve komisyon gelir ve giderlerine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Finansal varlıklara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Finansal varlıklarda değer düşüklüğüne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5</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VIII-</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Finansal araçların netleştirilmesine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IX-</w:t>
            </w:r>
          </w:p>
        </w:tc>
        <w:tc>
          <w:tcPr>
            <w:tcW w:w="8674" w:type="dxa"/>
            <w:vAlign w:val="bottom"/>
          </w:tcPr>
          <w:p>
            <w:pPr>
              <w:pStyle w:val="Title"/>
              <w:jc w:val="left"/>
              <w:rPr>
                <w:rFonts w:ascii="Times New Roman" w:hAnsi="Times New Roman"/>
                <w:b w:val="0"/>
                <w:sz w:val="20"/>
                <w:szCs w:val="20"/>
              </w:rPr>
            </w:pPr>
            <w:r>
              <w:rPr>
                <w:rFonts w:ascii="Times New Roman" w:hAnsi="Times New Roman"/>
                <w:b w:val="0"/>
                <w:sz w:val="20"/>
                <w:szCs w:val="20"/>
              </w:rPr>
              <w:t>Satış ve geri alış anlaşmaları ve menkul değerlerin ödünç verilmesi işlemlerine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tcPr>
          <w:p>
            <w:pPr>
              <w:pStyle w:val="Title"/>
              <w:ind w:right="-154"/>
              <w:jc w:val="left"/>
              <w:rPr>
                <w:rFonts w:ascii="Times New Roman" w:hAnsi="Times New Roman"/>
                <w:sz w:val="20"/>
                <w:szCs w:val="20"/>
              </w:rPr>
            </w:pPr>
            <w:r>
              <w:rPr>
                <w:rFonts w:ascii="Times New Roman" w:hAnsi="Times New Roman"/>
                <w:sz w:val="20"/>
                <w:szCs w:val="20"/>
              </w:rPr>
              <w:t>X-</w:t>
            </w:r>
          </w:p>
        </w:tc>
        <w:tc>
          <w:tcPr>
            <w:tcW w:w="8674" w:type="dxa"/>
            <w:vAlign w:val="bottom"/>
          </w:tcPr>
          <w:p>
            <w:pPr>
              <w:rPr>
                <w:sz w:val="20"/>
                <w:szCs w:val="20"/>
              </w:rPr>
            </w:pPr>
            <w:r>
              <w:rPr>
                <w:sz w:val="20"/>
                <w:szCs w:val="20"/>
              </w:rPr>
              <w:t>Satış amaçlı elde tutulan ve durdurulan faaliyetlere ilişkin duran varlıklar ile bunlara ilişkin borçlar hakkında açıklamalar</w:t>
            </w:r>
          </w:p>
        </w:tc>
        <w:tc>
          <w:tcPr>
            <w:tcW w:w="506" w:type="dxa"/>
          </w:tcPr>
          <w:p>
            <w:pPr>
              <w:pStyle w:val="Title"/>
              <w:jc w:val="right"/>
              <w:rPr>
                <w:rFonts w:ascii="Times New Roman" w:hAnsi="Times New Roman"/>
                <w:b w:val="0"/>
                <w:sz w:val="20"/>
                <w:szCs w:val="20"/>
              </w:rPr>
            </w:pPr>
          </w:p>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XI-</w:t>
            </w:r>
          </w:p>
        </w:tc>
        <w:tc>
          <w:tcPr>
            <w:tcW w:w="8674" w:type="dxa"/>
            <w:vAlign w:val="bottom"/>
          </w:tcPr>
          <w:p>
            <w:pPr>
              <w:rPr>
                <w:sz w:val="20"/>
                <w:szCs w:val="20"/>
              </w:rPr>
            </w:pPr>
            <w:r>
              <w:rPr>
                <w:sz w:val="20"/>
                <w:szCs w:val="20"/>
              </w:rPr>
              <w:t>Şerefiye ve diğer maddi olmayan duran varlıklara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XII-</w:t>
            </w:r>
          </w:p>
        </w:tc>
        <w:tc>
          <w:tcPr>
            <w:tcW w:w="8674" w:type="dxa"/>
            <w:vAlign w:val="bottom"/>
          </w:tcPr>
          <w:p>
            <w:pPr>
              <w:rPr>
                <w:sz w:val="20"/>
                <w:szCs w:val="20"/>
              </w:rPr>
            </w:pPr>
            <w:r>
              <w:rPr>
                <w:sz w:val="20"/>
                <w:szCs w:val="20"/>
              </w:rPr>
              <w:t>Maddi duran varlıklara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XIII-</w:t>
            </w:r>
          </w:p>
        </w:tc>
        <w:tc>
          <w:tcPr>
            <w:tcW w:w="8674" w:type="dxa"/>
            <w:vAlign w:val="bottom"/>
          </w:tcPr>
          <w:p>
            <w:pPr>
              <w:rPr>
                <w:sz w:val="20"/>
                <w:szCs w:val="20"/>
              </w:rPr>
            </w:pPr>
            <w:r>
              <w:rPr>
                <w:sz w:val="20"/>
                <w:szCs w:val="20"/>
              </w:rPr>
              <w:t>Kiralama işlemlerine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XIV-</w:t>
            </w:r>
          </w:p>
        </w:tc>
        <w:tc>
          <w:tcPr>
            <w:tcW w:w="8674" w:type="dxa"/>
            <w:vAlign w:val="bottom"/>
          </w:tcPr>
          <w:p>
            <w:pPr>
              <w:rPr>
                <w:sz w:val="20"/>
                <w:szCs w:val="20"/>
              </w:rPr>
            </w:pPr>
            <w:r>
              <w:rPr>
                <w:sz w:val="20"/>
                <w:szCs w:val="20"/>
              </w:rPr>
              <w:t>Karşılıklar ve koşullu yükümlülüklere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XV-</w:t>
            </w:r>
          </w:p>
        </w:tc>
        <w:tc>
          <w:tcPr>
            <w:tcW w:w="8674" w:type="dxa"/>
            <w:vAlign w:val="bottom"/>
          </w:tcPr>
          <w:p>
            <w:pPr>
              <w:rPr>
                <w:sz w:val="20"/>
                <w:szCs w:val="20"/>
              </w:rPr>
            </w:pPr>
            <w:r>
              <w:rPr>
                <w:sz w:val="20"/>
                <w:szCs w:val="20"/>
              </w:rPr>
              <w:t>Çalışanların haklarına ilişkin yükümlülüklere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XVI-</w:t>
            </w:r>
          </w:p>
        </w:tc>
        <w:tc>
          <w:tcPr>
            <w:tcW w:w="8674" w:type="dxa"/>
            <w:vAlign w:val="bottom"/>
          </w:tcPr>
          <w:p>
            <w:pPr>
              <w:rPr>
                <w:sz w:val="20"/>
                <w:szCs w:val="20"/>
              </w:rPr>
            </w:pPr>
            <w:r>
              <w:rPr>
                <w:sz w:val="20"/>
                <w:szCs w:val="20"/>
              </w:rPr>
              <w:t>Vergi uygulamalarına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19</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XVII-</w:t>
            </w:r>
          </w:p>
        </w:tc>
        <w:tc>
          <w:tcPr>
            <w:tcW w:w="8674" w:type="dxa"/>
            <w:vAlign w:val="bottom"/>
          </w:tcPr>
          <w:p>
            <w:pPr>
              <w:rPr>
                <w:sz w:val="20"/>
                <w:szCs w:val="20"/>
              </w:rPr>
            </w:pPr>
            <w:r>
              <w:rPr>
                <w:sz w:val="20"/>
                <w:szCs w:val="20"/>
              </w:rPr>
              <w:t>Borçlanmalara ilişkin ilave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XVIII-</w:t>
            </w:r>
          </w:p>
        </w:tc>
        <w:tc>
          <w:tcPr>
            <w:tcW w:w="8674" w:type="dxa"/>
            <w:vAlign w:val="bottom"/>
          </w:tcPr>
          <w:p>
            <w:pPr>
              <w:rPr>
                <w:sz w:val="20"/>
                <w:szCs w:val="20"/>
              </w:rPr>
            </w:pPr>
            <w:r>
              <w:rPr>
                <w:sz w:val="20"/>
                <w:szCs w:val="20"/>
              </w:rPr>
              <w:t>İhraç edilen hisse senetlerine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XIX-</w:t>
            </w:r>
          </w:p>
        </w:tc>
        <w:tc>
          <w:tcPr>
            <w:tcW w:w="8674" w:type="dxa"/>
            <w:vAlign w:val="bottom"/>
          </w:tcPr>
          <w:p>
            <w:pPr>
              <w:rPr>
                <w:sz w:val="20"/>
                <w:szCs w:val="20"/>
              </w:rPr>
            </w:pPr>
            <w:r>
              <w:rPr>
                <w:sz w:val="20"/>
                <w:szCs w:val="20"/>
              </w:rPr>
              <w:t>Aval ve kabullere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XX-</w:t>
            </w:r>
          </w:p>
        </w:tc>
        <w:tc>
          <w:tcPr>
            <w:tcW w:w="8674" w:type="dxa"/>
            <w:vAlign w:val="bottom"/>
          </w:tcPr>
          <w:p>
            <w:pPr>
              <w:rPr>
                <w:sz w:val="20"/>
                <w:szCs w:val="20"/>
              </w:rPr>
            </w:pPr>
            <w:r>
              <w:rPr>
                <w:sz w:val="20"/>
                <w:szCs w:val="20"/>
              </w:rPr>
              <w:t>Devlet teşviklerine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XXI-</w:t>
            </w:r>
          </w:p>
        </w:tc>
        <w:tc>
          <w:tcPr>
            <w:tcW w:w="8674" w:type="dxa"/>
            <w:vAlign w:val="bottom"/>
          </w:tcPr>
          <w:p>
            <w:pPr>
              <w:rPr>
                <w:sz w:val="20"/>
                <w:szCs w:val="20"/>
              </w:rPr>
            </w:pPr>
            <w:r>
              <w:rPr>
                <w:sz w:val="20"/>
                <w:szCs w:val="20"/>
              </w:rPr>
              <w:t>Raporlamanın bölümlemeye göre yapılmasına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Title"/>
              <w:ind w:right="-154"/>
              <w:jc w:val="left"/>
              <w:rPr>
                <w:rFonts w:ascii="Times New Roman" w:hAnsi="Times New Roman"/>
                <w:sz w:val="20"/>
                <w:szCs w:val="20"/>
              </w:rPr>
            </w:pPr>
            <w:r>
              <w:rPr>
                <w:rFonts w:ascii="Times New Roman" w:hAnsi="Times New Roman"/>
                <w:sz w:val="20"/>
                <w:szCs w:val="20"/>
              </w:rPr>
              <w:t>XXII-</w:t>
            </w:r>
          </w:p>
        </w:tc>
        <w:tc>
          <w:tcPr>
            <w:tcW w:w="8674" w:type="dxa"/>
            <w:vAlign w:val="bottom"/>
          </w:tcPr>
          <w:p>
            <w:pPr>
              <w:rPr>
                <w:sz w:val="20"/>
                <w:szCs w:val="20"/>
              </w:rPr>
            </w:pPr>
            <w:r>
              <w:rPr>
                <w:sz w:val="20"/>
                <w:szCs w:val="20"/>
              </w:rPr>
              <w:t>Diğer hususlara ilişkin açıklamalar</w:t>
            </w:r>
          </w:p>
        </w:tc>
        <w:tc>
          <w:tcPr>
            <w:tcW w:w="506"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2</w:t>
            </w:r>
          </w:p>
        </w:tc>
      </w:tr>
      <w:tr>
        <w:tc>
          <w:tcPr>
            <w:tcW w:w="737" w:type="dxa"/>
          </w:tcPr>
          <w:p>
            <w:pPr>
              <w:pStyle w:val="Title"/>
              <w:ind w:right="-154"/>
              <w:jc w:val="left"/>
              <w:rPr>
                <w:rFonts w:ascii="Times New Roman" w:hAnsi="Times New Roman"/>
                <w:sz w:val="20"/>
                <w:szCs w:val="20"/>
              </w:rPr>
            </w:pPr>
          </w:p>
        </w:tc>
        <w:tc>
          <w:tcPr>
            <w:tcW w:w="8674" w:type="dxa"/>
          </w:tcPr>
          <w:p>
            <w:pPr>
              <w:rPr>
                <w:sz w:val="20"/>
                <w:szCs w:val="20"/>
              </w:rPr>
            </w:pPr>
          </w:p>
        </w:tc>
        <w:tc>
          <w:tcPr>
            <w:tcW w:w="506" w:type="dxa"/>
          </w:tcPr>
          <w:p>
            <w:pPr>
              <w:pStyle w:val="Title"/>
              <w:jc w:val="right"/>
              <w:rPr>
                <w:rFonts w:ascii="Times New Roman" w:hAnsi="Times New Roman"/>
                <w:b w:val="0"/>
                <w:sz w:val="20"/>
                <w:szCs w:val="20"/>
              </w:rPr>
            </w:pPr>
          </w:p>
        </w:tc>
      </w:tr>
      <w:tr>
        <w:tc>
          <w:tcPr>
            <w:tcW w:w="737" w:type="dxa"/>
          </w:tcPr>
          <w:p>
            <w:pPr>
              <w:pStyle w:val="Title"/>
              <w:ind w:right="-154"/>
              <w:jc w:val="left"/>
              <w:rPr>
                <w:rFonts w:ascii="Times New Roman" w:hAnsi="Times New Roman"/>
                <w:sz w:val="20"/>
                <w:szCs w:val="20"/>
              </w:rPr>
            </w:pPr>
          </w:p>
        </w:tc>
        <w:tc>
          <w:tcPr>
            <w:tcW w:w="8674" w:type="dxa"/>
          </w:tcPr>
          <w:p>
            <w:pPr>
              <w:rPr>
                <w:sz w:val="20"/>
                <w:szCs w:val="20"/>
              </w:rPr>
            </w:pPr>
          </w:p>
        </w:tc>
        <w:tc>
          <w:tcPr>
            <w:tcW w:w="506" w:type="dxa"/>
          </w:tcPr>
          <w:p>
            <w:pPr>
              <w:pStyle w:val="Title"/>
              <w:jc w:val="right"/>
              <w:rPr>
                <w:rFonts w:ascii="Times New Roman" w:hAnsi="Times New Roman"/>
                <w:b w:val="0"/>
                <w:sz w:val="20"/>
                <w:szCs w:val="20"/>
              </w:rPr>
            </w:pPr>
          </w:p>
        </w:tc>
      </w:tr>
    </w:tbl>
    <w:p>
      <w:pPr>
        <w:pStyle w:val="Title"/>
        <w:jc w:val="left"/>
        <w:rPr>
          <w:rFonts w:ascii="Times New Roman" w:hAnsi="Times New Roman"/>
          <w:sz w:val="24"/>
          <w:szCs w:val="24"/>
        </w:rPr>
      </w:pPr>
    </w:p>
    <w:p>
      <w:pPr>
        <w:pStyle w:val="Title"/>
        <w:tabs>
          <w:tab w:val="left" w:pos="1792"/>
        </w:tabs>
        <w:jc w:val="left"/>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ab/>
      </w:r>
    </w:p>
    <w:tbl>
      <w:tblPr>
        <w:tblW w:w="9854" w:type="dxa"/>
        <w:tblInd w:w="108" w:type="dxa"/>
        <w:tblLook w:val="04A0"/>
      </w:tblPr>
      <w:tblGrid>
        <w:gridCol w:w="732"/>
        <w:gridCol w:w="8615"/>
        <w:gridCol w:w="507"/>
      </w:tblGrid>
      <w:tr>
        <w:trPr>
          <w:trHeight w:val="249"/>
        </w:trPr>
        <w:tc>
          <w:tcPr>
            <w:tcW w:w="732" w:type="dxa"/>
          </w:tcPr>
          <w:p>
            <w:pPr>
              <w:pStyle w:val="Title"/>
              <w:ind w:right="-137"/>
              <w:jc w:val="both"/>
              <w:rPr>
                <w:rFonts w:ascii="Times New Roman" w:hAnsi="Times New Roman"/>
                <w:b w:val="0"/>
                <w:sz w:val="20"/>
                <w:szCs w:val="20"/>
              </w:rPr>
            </w:pPr>
          </w:p>
        </w:tc>
        <w:tc>
          <w:tcPr>
            <w:tcW w:w="8615" w:type="dxa"/>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r>
        <w:trPr>
          <w:trHeight w:val="237"/>
        </w:trPr>
        <w:tc>
          <w:tcPr>
            <w:tcW w:w="732" w:type="dxa"/>
          </w:tcPr>
          <w:p>
            <w:pPr>
              <w:pStyle w:val="Title"/>
              <w:ind w:right="-137"/>
              <w:jc w:val="left"/>
              <w:rPr>
                <w:rFonts w:ascii="Times New Roman" w:hAnsi="Times New Roman"/>
                <w:sz w:val="20"/>
                <w:szCs w:val="20"/>
              </w:rPr>
            </w:pPr>
          </w:p>
        </w:tc>
        <w:tc>
          <w:tcPr>
            <w:tcW w:w="8615" w:type="dxa"/>
            <w:vAlign w:val="bottom"/>
          </w:tcPr>
          <w:p>
            <w:pPr>
              <w:jc w:val="center"/>
              <w:rPr>
                <w:b/>
                <w:bCs/>
                <w:sz w:val="20"/>
                <w:szCs w:val="20"/>
              </w:rPr>
            </w:pPr>
          </w:p>
          <w:p>
            <w:pPr>
              <w:jc w:val="center"/>
              <w:rPr>
                <w:b/>
                <w:bCs/>
                <w:sz w:val="20"/>
                <w:szCs w:val="20"/>
              </w:rPr>
            </w:pPr>
            <w:r>
              <w:rPr>
                <w:b/>
                <w:bCs/>
                <w:sz w:val="20"/>
                <w:szCs w:val="20"/>
              </w:rPr>
              <w:t>DÖRDÜNCÜ BÖLÜM</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left"/>
              <w:rPr>
                <w:rFonts w:ascii="Times New Roman" w:hAnsi="Times New Roman"/>
                <w:sz w:val="20"/>
                <w:szCs w:val="20"/>
              </w:rPr>
            </w:pPr>
          </w:p>
        </w:tc>
        <w:tc>
          <w:tcPr>
            <w:tcW w:w="8615" w:type="dxa"/>
            <w:vAlign w:val="bottom"/>
          </w:tcPr>
          <w:p>
            <w:pPr>
              <w:jc w:val="center"/>
            </w:pPr>
            <w:r>
              <w:rPr>
                <w:b/>
                <w:bCs/>
                <w:sz w:val="20"/>
                <w:szCs w:val="20"/>
              </w:rPr>
              <w:t>Mali Bünyeye İlişkin Bilgiler</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left"/>
              <w:rPr>
                <w:rFonts w:ascii="Times New Roman" w:hAnsi="Times New Roman"/>
                <w:sz w:val="20"/>
                <w:szCs w:val="20"/>
              </w:rPr>
            </w:pPr>
          </w:p>
        </w:tc>
        <w:tc>
          <w:tcPr>
            <w:tcW w:w="8615" w:type="dxa"/>
          </w:tcPr>
          <w:p>
            <w:pPr>
              <w:rPr>
                <w:sz w:val="20"/>
                <w:szCs w:val="20"/>
              </w:rPr>
            </w:pPr>
          </w:p>
        </w:tc>
        <w:tc>
          <w:tcPr>
            <w:tcW w:w="507" w:type="dxa"/>
          </w:tcPr>
          <w:p>
            <w:pPr>
              <w:pStyle w:val="Title"/>
              <w:jc w:val="right"/>
              <w:rPr>
                <w:rFonts w:ascii="Times New Roman" w:hAnsi="Times New Roman"/>
                <w:b w:val="0"/>
                <w:sz w:val="20"/>
                <w:szCs w:val="20"/>
              </w:rPr>
            </w:pP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rPr>
                <w:sz w:val="20"/>
                <w:szCs w:val="20"/>
              </w:rPr>
            </w:pPr>
            <w:r>
              <w:rPr>
                <w:sz w:val="20"/>
                <w:szCs w:val="20"/>
              </w:rPr>
              <w:t>Sermaye yeterliliği standart oranına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3</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rPr>
                <w:sz w:val="20"/>
                <w:szCs w:val="20"/>
              </w:rPr>
            </w:pPr>
            <w:r>
              <w:rPr>
                <w:sz w:val="20"/>
                <w:szCs w:val="20"/>
              </w:rPr>
              <w:t>Piyasa riskine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rPr>
                <w:sz w:val="20"/>
                <w:szCs w:val="20"/>
              </w:rPr>
            </w:pPr>
            <w:r>
              <w:rPr>
                <w:sz w:val="20"/>
                <w:szCs w:val="20"/>
              </w:rPr>
              <w:t>Kur riskine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rPr>
                <w:sz w:val="20"/>
                <w:szCs w:val="20"/>
              </w:rPr>
            </w:pPr>
            <w:r>
              <w:rPr>
                <w:sz w:val="20"/>
                <w:szCs w:val="20"/>
              </w:rPr>
              <w:t>Faiz oranı riskine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8</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rPr>
                <w:sz w:val="20"/>
                <w:szCs w:val="20"/>
              </w:rPr>
            </w:pPr>
            <w:r>
              <w:rPr>
                <w:sz w:val="20"/>
                <w:szCs w:val="20"/>
              </w:rPr>
              <w:t>Likitide riskine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3</w:t>
            </w:r>
          </w:p>
        </w:tc>
      </w:tr>
      <w:tr>
        <w:trPr>
          <w:trHeight w:val="249"/>
        </w:trPr>
        <w:tc>
          <w:tcPr>
            <w:tcW w:w="732" w:type="dxa"/>
            <w:vAlign w:val="bottom"/>
          </w:tcPr>
          <w:p>
            <w:pPr>
              <w:pStyle w:val="Title"/>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Title"/>
              <w:jc w:val="right"/>
              <w:rPr>
                <w:rFonts w:ascii="Times New Roman" w:hAnsi="Times New Roman"/>
                <w:b w:val="0"/>
                <w:sz w:val="20"/>
                <w:szCs w:val="20"/>
              </w:rPr>
            </w:pPr>
          </w:p>
        </w:tc>
      </w:tr>
      <w:tr>
        <w:trPr>
          <w:trHeight w:val="249"/>
        </w:trPr>
        <w:tc>
          <w:tcPr>
            <w:tcW w:w="732" w:type="dxa"/>
            <w:vAlign w:val="bottom"/>
          </w:tcPr>
          <w:p>
            <w:pPr>
              <w:pStyle w:val="Title"/>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Title"/>
              <w:jc w:val="right"/>
              <w:rPr>
                <w:rFonts w:ascii="Times New Roman" w:hAnsi="Times New Roman"/>
                <w:b w:val="0"/>
                <w:sz w:val="20"/>
                <w:szCs w:val="20"/>
              </w:rPr>
            </w:pPr>
          </w:p>
        </w:tc>
      </w:tr>
      <w:tr>
        <w:trPr>
          <w:trHeight w:val="249"/>
        </w:trPr>
        <w:tc>
          <w:tcPr>
            <w:tcW w:w="732" w:type="dxa"/>
            <w:vAlign w:val="bottom"/>
          </w:tcPr>
          <w:p>
            <w:pPr>
              <w:pStyle w:val="Title"/>
              <w:ind w:right="-137"/>
              <w:jc w:val="left"/>
              <w:rPr>
                <w:rFonts w:ascii="Times New Roman" w:hAnsi="Times New Roman"/>
                <w:sz w:val="20"/>
                <w:szCs w:val="20"/>
              </w:rPr>
            </w:pPr>
          </w:p>
        </w:tc>
        <w:tc>
          <w:tcPr>
            <w:tcW w:w="8615" w:type="dxa"/>
            <w:vAlign w:val="bottom"/>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both"/>
              <w:rPr>
                <w:rFonts w:ascii="Times New Roman" w:hAnsi="Times New Roman"/>
                <w:b w:val="0"/>
                <w:sz w:val="20"/>
                <w:szCs w:val="20"/>
              </w:rPr>
            </w:pPr>
          </w:p>
        </w:tc>
        <w:tc>
          <w:tcPr>
            <w:tcW w:w="8615" w:type="dxa"/>
            <w:vAlign w:val="bottom"/>
          </w:tcPr>
          <w:p>
            <w:pPr>
              <w:pStyle w:val="Heading1"/>
              <w:spacing w:before="0"/>
              <w:jc w:val="center"/>
              <w:rPr>
                <w:rFonts w:ascii="Times New Roman" w:hAnsi="Times New Roman"/>
                <w:sz w:val="20"/>
                <w:szCs w:val="20"/>
              </w:rPr>
            </w:pPr>
          </w:p>
          <w:p>
            <w:pPr>
              <w:pStyle w:val="Heading1"/>
              <w:spacing w:before="0"/>
              <w:jc w:val="center"/>
              <w:rPr>
                <w:rFonts w:ascii="Times New Roman" w:hAnsi="Times New Roman"/>
                <w:sz w:val="20"/>
                <w:szCs w:val="20"/>
              </w:rPr>
            </w:pPr>
            <w:r>
              <w:rPr>
                <w:rFonts w:ascii="Times New Roman" w:hAnsi="Times New Roman"/>
                <w:sz w:val="20"/>
                <w:szCs w:val="20"/>
              </w:rPr>
              <w:t>BEŞİNCİ BÖLÜM</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both"/>
              <w:rPr>
                <w:rFonts w:ascii="Times New Roman" w:hAnsi="Times New Roman"/>
                <w:b w:val="0"/>
                <w:sz w:val="20"/>
                <w:szCs w:val="20"/>
              </w:rPr>
            </w:pPr>
          </w:p>
        </w:tc>
        <w:tc>
          <w:tcPr>
            <w:tcW w:w="8615" w:type="dxa"/>
            <w:vAlign w:val="bottom"/>
          </w:tcPr>
          <w:p>
            <w:pPr>
              <w:jc w:val="center"/>
              <w:rPr>
                <w:b/>
                <w:sz w:val="20"/>
                <w:szCs w:val="20"/>
              </w:rPr>
            </w:pPr>
            <w:r>
              <w:rPr>
                <w:b/>
                <w:bCs/>
                <w:sz w:val="20"/>
                <w:szCs w:val="20"/>
              </w:rPr>
              <w:t>Konsolide Olmayan Finansal Tablolara İlişkin Açıklama ve Dipnotlar</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both"/>
              <w:rPr>
                <w:rFonts w:ascii="Times New Roman" w:hAnsi="Times New Roman"/>
                <w:b w:val="0"/>
                <w:sz w:val="20"/>
                <w:szCs w:val="20"/>
              </w:rPr>
            </w:pPr>
          </w:p>
        </w:tc>
        <w:tc>
          <w:tcPr>
            <w:tcW w:w="8615" w:type="dxa"/>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Bilançonun aktif hesaplarına ilişkin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5</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Bilançonun pasif hesaplarına ilişkin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4</w:t>
            </w:r>
            <w:r>
              <w:rPr>
                <w:rFonts w:ascii="Times New Roman" w:hAnsi="Times New Roman"/>
                <w:b w:val="0"/>
                <w:sz w:val="20"/>
                <w:szCs w:val="20"/>
              </w:rPr>
              <w:t>7</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Nazım hesaplara ilişkin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3</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Gelir tablosuna ilişkin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4</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Bankanın dahil olduğu risk grubuna ilişkin açıklamalar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8</w:t>
            </w:r>
          </w:p>
        </w:tc>
      </w:tr>
      <w:tr>
        <w:trPr>
          <w:trHeight w:val="249"/>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VI-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Bilanço sonrası hususlara ilişkin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9</w:t>
            </w:r>
          </w:p>
        </w:tc>
      </w:tr>
      <w:tr>
        <w:trPr>
          <w:trHeight w:val="237"/>
        </w:trPr>
        <w:tc>
          <w:tcPr>
            <w:tcW w:w="732" w:type="dxa"/>
          </w:tcPr>
          <w:p>
            <w:pPr>
              <w:pStyle w:val="Title"/>
              <w:ind w:right="-137"/>
              <w:jc w:val="both"/>
              <w:rPr>
                <w:rFonts w:ascii="Times New Roman" w:hAnsi="Times New Roman"/>
                <w:sz w:val="20"/>
                <w:szCs w:val="20"/>
              </w:rPr>
            </w:pPr>
          </w:p>
        </w:tc>
        <w:tc>
          <w:tcPr>
            <w:tcW w:w="8615" w:type="dxa"/>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r>
        <w:trPr>
          <w:trHeight w:val="221"/>
        </w:trPr>
        <w:tc>
          <w:tcPr>
            <w:tcW w:w="732" w:type="dxa"/>
            <w:vAlign w:val="bottom"/>
          </w:tcPr>
          <w:p>
            <w:pPr>
              <w:pStyle w:val="Title"/>
              <w:ind w:right="-137"/>
              <w:jc w:val="left"/>
              <w:rPr>
                <w:rFonts w:ascii="Times New Roman" w:hAnsi="Times New Roman"/>
                <w:sz w:val="20"/>
                <w:szCs w:val="20"/>
              </w:rPr>
            </w:pPr>
          </w:p>
        </w:tc>
        <w:tc>
          <w:tcPr>
            <w:tcW w:w="8615" w:type="dxa"/>
            <w:vAlign w:val="bottom"/>
          </w:tcPr>
          <w:p>
            <w:pPr>
              <w:rPr>
                <w:bCs/>
                <w:sz w:val="20"/>
                <w:szCs w:val="20"/>
              </w:rPr>
            </w:pPr>
          </w:p>
        </w:tc>
        <w:tc>
          <w:tcPr>
            <w:tcW w:w="507" w:type="dxa"/>
          </w:tcPr>
          <w:p>
            <w:pPr>
              <w:pStyle w:val="Title"/>
              <w:jc w:val="right"/>
              <w:rPr>
                <w:rFonts w:ascii="Times New Roman" w:hAnsi="Times New Roman"/>
                <w:b w:val="0"/>
                <w:sz w:val="20"/>
                <w:szCs w:val="20"/>
              </w:rPr>
            </w:pPr>
          </w:p>
        </w:tc>
      </w:tr>
      <w:tr>
        <w:trPr>
          <w:trHeight w:val="221"/>
        </w:trPr>
        <w:tc>
          <w:tcPr>
            <w:tcW w:w="732" w:type="dxa"/>
            <w:vAlign w:val="bottom"/>
          </w:tcPr>
          <w:p>
            <w:pPr>
              <w:pStyle w:val="Title"/>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Title"/>
              <w:jc w:val="right"/>
              <w:rPr>
                <w:rFonts w:ascii="Times New Roman" w:hAnsi="Times New Roman"/>
                <w:b w:val="0"/>
                <w:sz w:val="20"/>
                <w:szCs w:val="20"/>
              </w:rPr>
            </w:pPr>
          </w:p>
        </w:tc>
      </w:tr>
      <w:tr>
        <w:trPr>
          <w:trHeight w:val="221"/>
        </w:trPr>
        <w:tc>
          <w:tcPr>
            <w:tcW w:w="732" w:type="dxa"/>
            <w:vAlign w:val="bottom"/>
          </w:tcPr>
          <w:p>
            <w:pPr>
              <w:pStyle w:val="Title"/>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Title"/>
              <w:jc w:val="right"/>
              <w:rPr>
                <w:rFonts w:ascii="Times New Roman" w:hAnsi="Times New Roman"/>
                <w:b w:val="0"/>
                <w:sz w:val="20"/>
                <w:szCs w:val="20"/>
              </w:rPr>
            </w:pPr>
          </w:p>
        </w:tc>
      </w:tr>
      <w:tr>
        <w:trPr>
          <w:trHeight w:val="221"/>
        </w:trPr>
        <w:tc>
          <w:tcPr>
            <w:tcW w:w="732" w:type="dxa"/>
            <w:vAlign w:val="bottom"/>
          </w:tcPr>
          <w:p>
            <w:pPr>
              <w:pStyle w:val="Title"/>
              <w:ind w:right="-137"/>
              <w:jc w:val="left"/>
              <w:rPr>
                <w:rFonts w:ascii="Times New Roman" w:hAnsi="Times New Roman"/>
                <w:sz w:val="20"/>
                <w:szCs w:val="20"/>
              </w:rPr>
            </w:pPr>
          </w:p>
        </w:tc>
        <w:tc>
          <w:tcPr>
            <w:tcW w:w="8615" w:type="dxa"/>
            <w:vAlign w:val="bottom"/>
          </w:tcPr>
          <w:p>
            <w:pPr>
              <w:jc w:val="center"/>
              <w:rPr>
                <w:b/>
                <w:sz w:val="20"/>
                <w:szCs w:val="20"/>
              </w:rPr>
            </w:pPr>
          </w:p>
          <w:p>
            <w:pPr>
              <w:jc w:val="center"/>
              <w:rPr>
                <w:b/>
                <w:sz w:val="20"/>
                <w:szCs w:val="20"/>
              </w:rPr>
            </w:pPr>
            <w:r>
              <w:rPr>
                <w:b/>
                <w:sz w:val="20"/>
                <w:szCs w:val="20"/>
              </w:rPr>
              <w:t>ALTINCI</w:t>
            </w:r>
            <w:r>
              <w:rPr>
                <w:b/>
                <w:sz w:val="20"/>
                <w:szCs w:val="20"/>
              </w:rPr>
              <w:t xml:space="preserve"> BÖLÜM</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both"/>
              <w:rPr>
                <w:rFonts w:ascii="Times New Roman" w:hAnsi="Times New Roman"/>
                <w:b w:val="0"/>
                <w:sz w:val="20"/>
                <w:szCs w:val="20"/>
              </w:rPr>
            </w:pPr>
          </w:p>
        </w:tc>
        <w:tc>
          <w:tcPr>
            <w:tcW w:w="8615" w:type="dxa"/>
            <w:vAlign w:val="bottom"/>
          </w:tcPr>
          <w:p>
            <w:pPr>
              <w:pStyle w:val="Title"/>
              <w:rPr>
                <w:rFonts w:ascii="Times New Roman" w:hAnsi="Times New Roman"/>
                <w:b w:val="0"/>
                <w:sz w:val="20"/>
                <w:szCs w:val="20"/>
              </w:rPr>
            </w:pPr>
            <w:r>
              <w:rPr>
                <w:rFonts w:ascii="Times New Roman" w:hAnsi="Times New Roman"/>
                <w:sz w:val="20"/>
                <w:szCs w:val="20"/>
              </w:rPr>
              <w:t xml:space="preserve">Bağımsız </w:t>
            </w:r>
            <w:r>
              <w:rPr>
                <w:rFonts w:ascii="Times New Roman" w:hAnsi="Times New Roman"/>
                <w:sz w:val="20"/>
                <w:szCs w:val="20"/>
              </w:rPr>
              <w:t xml:space="preserve">Sınırlı </w:t>
            </w:r>
            <w:r>
              <w:rPr>
                <w:rFonts w:ascii="Times New Roman" w:hAnsi="Times New Roman"/>
                <w:sz w:val="20"/>
                <w:szCs w:val="20"/>
              </w:rPr>
              <w:t>Denetim Raporu</w:t>
            </w:r>
          </w:p>
        </w:tc>
        <w:tc>
          <w:tcPr>
            <w:tcW w:w="507" w:type="dxa"/>
          </w:tcPr>
          <w:p>
            <w:pPr>
              <w:pStyle w:val="Title"/>
              <w:jc w:val="right"/>
              <w:rPr>
                <w:rFonts w:ascii="Times New Roman" w:hAnsi="Times New Roman"/>
                <w:b w:val="0"/>
                <w:sz w:val="20"/>
                <w:szCs w:val="20"/>
              </w:rPr>
            </w:pPr>
          </w:p>
        </w:tc>
      </w:tr>
      <w:tr>
        <w:trPr>
          <w:trHeight w:val="249"/>
        </w:trPr>
        <w:tc>
          <w:tcPr>
            <w:tcW w:w="732" w:type="dxa"/>
          </w:tcPr>
          <w:p>
            <w:pPr>
              <w:pStyle w:val="Title"/>
              <w:ind w:right="-137"/>
              <w:jc w:val="both"/>
              <w:rPr>
                <w:rFonts w:ascii="Times New Roman" w:hAnsi="Times New Roman"/>
                <w:b w:val="0"/>
                <w:sz w:val="20"/>
                <w:szCs w:val="20"/>
              </w:rPr>
            </w:pPr>
          </w:p>
        </w:tc>
        <w:tc>
          <w:tcPr>
            <w:tcW w:w="8615" w:type="dxa"/>
          </w:tcPr>
          <w:p>
            <w:pPr>
              <w:pStyle w:val="Title"/>
              <w:jc w:val="left"/>
              <w:rPr>
                <w:rFonts w:ascii="Times New Roman" w:hAnsi="Times New Roman"/>
                <w:sz w:val="20"/>
                <w:szCs w:val="20"/>
              </w:rPr>
            </w:pPr>
          </w:p>
        </w:tc>
        <w:tc>
          <w:tcPr>
            <w:tcW w:w="507" w:type="dxa"/>
          </w:tcPr>
          <w:p>
            <w:pPr>
              <w:pStyle w:val="Title"/>
              <w:jc w:val="right"/>
              <w:rPr>
                <w:rFonts w:ascii="Times New Roman" w:hAnsi="Times New Roman"/>
                <w:b w:val="0"/>
                <w:sz w:val="20"/>
                <w:szCs w:val="20"/>
              </w:rPr>
            </w:pPr>
          </w:p>
        </w:tc>
      </w:tr>
      <w:tr>
        <w:trPr>
          <w:trHeight w:val="237"/>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 xml:space="preserve">Bağımsız </w:t>
            </w:r>
            <w:r>
              <w:rPr>
                <w:rFonts w:ascii="Times New Roman" w:hAnsi="Times New Roman"/>
                <w:b w:val="0"/>
                <w:sz w:val="20"/>
                <w:szCs w:val="20"/>
              </w:rPr>
              <w:t xml:space="preserve"> </w:t>
            </w:r>
            <w:r>
              <w:rPr>
                <w:rFonts w:ascii="Times New Roman" w:hAnsi="Times New Roman"/>
                <w:b w:val="0"/>
                <w:sz w:val="20"/>
                <w:szCs w:val="20"/>
              </w:rPr>
              <w:t>s</w:t>
            </w:r>
            <w:r>
              <w:rPr>
                <w:rFonts w:ascii="Times New Roman" w:hAnsi="Times New Roman"/>
                <w:b w:val="0"/>
                <w:sz w:val="20"/>
                <w:szCs w:val="20"/>
              </w:rPr>
              <w:t xml:space="preserve">ınırlı </w:t>
            </w:r>
            <w:r>
              <w:rPr>
                <w:rFonts w:ascii="Times New Roman" w:hAnsi="Times New Roman"/>
                <w:b w:val="0"/>
                <w:sz w:val="20"/>
                <w:szCs w:val="20"/>
              </w:rPr>
              <w:t>denetim raporuna ilişkin olarak açıklanması gereken hususlar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vAlign w:val="bottom"/>
          </w:tcPr>
          <w:p>
            <w:pPr>
              <w:pStyle w:val="Title"/>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Title"/>
              <w:jc w:val="left"/>
              <w:rPr>
                <w:rFonts w:ascii="Times New Roman" w:hAnsi="Times New Roman"/>
                <w:b w:val="0"/>
                <w:sz w:val="20"/>
                <w:szCs w:val="20"/>
              </w:rPr>
            </w:pPr>
            <w:r>
              <w:rPr>
                <w:rFonts w:ascii="Times New Roman" w:hAnsi="Times New Roman"/>
                <w:b w:val="0"/>
                <w:sz w:val="20"/>
                <w:szCs w:val="20"/>
              </w:rPr>
              <w:t>Bağımsız denetçi tarafından hazırlanan açıklama ve dipnotlar</w:t>
            </w:r>
          </w:p>
        </w:tc>
        <w:tc>
          <w:tcPr>
            <w:tcW w:w="507" w:type="dxa"/>
          </w:tcPr>
          <w:p>
            <w:pPr>
              <w:pStyle w:val="Title"/>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tcPr>
          <w:p>
            <w:pPr>
              <w:pStyle w:val="Title"/>
              <w:ind w:right="-137"/>
              <w:jc w:val="both"/>
              <w:rPr>
                <w:rFonts w:ascii="Times New Roman" w:hAnsi="Times New Roman"/>
                <w:b w:val="0"/>
                <w:sz w:val="20"/>
                <w:szCs w:val="20"/>
              </w:rPr>
            </w:pPr>
          </w:p>
        </w:tc>
        <w:tc>
          <w:tcPr>
            <w:tcW w:w="8615" w:type="dxa"/>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r>
        <w:trPr>
          <w:trHeight w:val="221"/>
        </w:trPr>
        <w:tc>
          <w:tcPr>
            <w:tcW w:w="732" w:type="dxa"/>
          </w:tcPr>
          <w:p>
            <w:pPr>
              <w:pStyle w:val="Title"/>
              <w:ind w:right="-137"/>
              <w:jc w:val="both"/>
              <w:rPr>
                <w:rFonts w:ascii="Times New Roman" w:hAnsi="Times New Roman"/>
                <w:b w:val="0"/>
                <w:sz w:val="20"/>
                <w:szCs w:val="20"/>
              </w:rPr>
            </w:pPr>
          </w:p>
        </w:tc>
        <w:tc>
          <w:tcPr>
            <w:tcW w:w="8615" w:type="dxa"/>
          </w:tcPr>
          <w:p>
            <w:pPr>
              <w:pStyle w:val="Title"/>
              <w:jc w:val="left"/>
              <w:rPr>
                <w:rFonts w:ascii="Times New Roman" w:hAnsi="Times New Roman"/>
                <w:b w:val="0"/>
                <w:sz w:val="20"/>
                <w:szCs w:val="20"/>
              </w:rPr>
            </w:pPr>
          </w:p>
        </w:tc>
        <w:tc>
          <w:tcPr>
            <w:tcW w:w="507" w:type="dxa"/>
          </w:tcPr>
          <w:p>
            <w:pPr>
              <w:pStyle w:val="Title"/>
              <w:jc w:val="right"/>
              <w:rPr>
                <w:rFonts w:ascii="Times New Roman" w:hAnsi="Times New Roman"/>
                <w:b w:val="0"/>
                <w:sz w:val="20"/>
                <w:szCs w:val="20"/>
              </w:rPr>
            </w:pPr>
          </w:p>
        </w:tc>
      </w:tr>
    </w:tbl>
    <w:p>
      <w:pPr>
        <w:pStyle w:val="Title"/>
        <w:jc w:val="left"/>
        <w:rPr>
          <w:rFonts w:ascii="Times New Roman" w:hAnsi="Times New Roman"/>
          <w:sz w:val="24"/>
          <w:szCs w:val="24"/>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sectPr>
          <w:footerReference w:type="default" r:id="rId55"/>
          <w:headerReference w:type="first" r:id="rId56"/>
          <w:footerReference w:type="first" r:id="rId57"/>
          <w:pgSz w:w="11907" w:h="16840" w:code="9"/>
          <w:pgMar w:top="1417" w:right="1417" w:bottom="1417" w:left="1417" w:header="680" w:footer="680" w:gutter="0"/>
          <w:pgNumType w:start="1"/>
          <w:cols w:space="708"/>
          <w:docGrid w:linePitch="326"/>
        </w:sectPr>
      </w:pPr>
    </w:p>
    <w:p>
      <w:pPr>
        <w:jc w:val="center"/>
        <w:rPr>
          <w:b/>
          <w:bCs/>
          <w:sz w:val="22"/>
          <w:szCs w:val="22"/>
        </w:rPr>
      </w:pPr>
      <w:r>
        <w:rPr>
          <w:b/>
          <w:bCs/>
          <w:sz w:val="22"/>
          <w:szCs w:val="22"/>
        </w:rPr>
        <w:lastRenderedPageBreak/>
        <w:t>BİRİNCİ BÖLÜM</w:t>
      </w:r>
    </w:p>
    <w:p>
      <w:pPr>
        <w:jc w:val="center"/>
        <w:rPr>
          <w:b/>
          <w:bCs/>
          <w:sz w:val="22"/>
          <w:szCs w:val="22"/>
        </w:rPr>
      </w:pPr>
      <w:r>
        <w:rPr>
          <w:b/>
          <w:bCs/>
          <w:sz w:val="22"/>
          <w:szCs w:val="22"/>
        </w:rPr>
        <w:t>GENEL BİLGİLER</w:t>
      </w:r>
    </w:p>
    <w:p>
      <w:pPr>
        <w:ind w:left="360"/>
        <w:jc w:val="both"/>
        <w:rPr>
          <w:b/>
          <w:bCs/>
          <w:sz w:val="22"/>
          <w:szCs w:val="22"/>
        </w:rPr>
      </w:pPr>
    </w:p>
    <w:p>
      <w:pPr>
        <w:tabs>
          <w:tab w:val="left" w:pos="567"/>
        </w:tabs>
        <w:ind w:left="567" w:hanging="567"/>
        <w:jc w:val="both"/>
        <w:rPr>
          <w:b/>
          <w:bCs/>
          <w:sz w:val="22"/>
          <w:szCs w:val="22"/>
        </w:rPr>
      </w:pPr>
      <w:r>
        <w:rPr>
          <w:b/>
          <w:bCs/>
          <w:sz w:val="22"/>
          <w:szCs w:val="22"/>
        </w:rPr>
        <w:t>I-</w:t>
      </w:r>
      <w:r>
        <w:rPr>
          <w:b/>
          <w:bCs/>
          <w:sz w:val="22"/>
          <w:szCs w:val="22"/>
        </w:rPr>
        <w:tab/>
      </w:r>
      <w:r>
        <w:rPr>
          <w:b/>
          <w:bCs/>
          <w:sz w:val="22"/>
          <w:szCs w:val="22"/>
        </w:rPr>
        <w:t>Banka</w:t>
      </w:r>
      <w:r>
        <w:rPr>
          <w:b/>
          <w:bCs/>
          <w:sz w:val="22"/>
          <w:szCs w:val="22"/>
        </w:rPr>
        <w:t>’</w:t>
      </w:r>
      <w:r>
        <w:rPr>
          <w:b/>
          <w:bCs/>
          <w:sz w:val="22"/>
          <w:szCs w:val="22"/>
        </w:rPr>
        <w:t>nın kuruluş tarihi, başlangıç statüsü, anılan statüde meydana gelen değişiklikleri ihtiva eden tarihçesi:</w:t>
      </w:r>
    </w:p>
    <w:p>
      <w:pPr>
        <w:ind w:left="360"/>
        <w:jc w:val="both"/>
        <w:rPr>
          <w:b/>
          <w:bCs/>
          <w:sz w:val="22"/>
          <w:szCs w:val="22"/>
        </w:rPr>
      </w:pPr>
    </w:p>
    <w:p>
      <w:pPr>
        <w:ind w:left="567"/>
        <w:jc w:val="both"/>
        <w:rPr>
          <w:sz w:val="22"/>
          <w:szCs w:val="22"/>
        </w:rPr>
      </w:pPr>
      <w:r>
        <w:rPr>
          <w:sz w:val="22"/>
          <w:szCs w:val="22"/>
        </w:rPr>
        <w:t>Banka, 27 Kasım 1975 tarihinde 13 Sayılı Kanun Hükmünde Kararname gereğince Sanayi ve Teknoloji Bakanlığı’nın ilgili kuruluşu olarak “Devlet Sanayi ve İşçi Yatırım Bankası A.Ş.” unvanı ile kurulmuştur. Banka</w:t>
      </w:r>
      <w:r>
        <w:rPr>
          <w:sz w:val="22"/>
          <w:szCs w:val="22"/>
        </w:rPr>
        <w:t>’</w:t>
      </w:r>
      <w:r>
        <w:rPr>
          <w:sz w:val="22"/>
          <w:szCs w:val="22"/>
        </w:rPr>
        <w:t>nın statüsünde 14</w:t>
      </w:r>
      <w:r>
        <w:rPr>
          <w:sz w:val="22"/>
          <w:szCs w:val="22"/>
        </w:rPr>
        <w:t xml:space="preserve"> Kasım </w:t>
      </w:r>
      <w:r>
        <w:rPr>
          <w:sz w:val="22"/>
          <w:szCs w:val="22"/>
        </w:rPr>
        <w:t xml:space="preserve">1983 tarihli ve 165 Sayılı Kanun Hükmünde Kararname ile bazı tadilatlar yapılmıştır. </w:t>
      </w:r>
    </w:p>
    <w:p>
      <w:pPr>
        <w:ind w:left="720"/>
        <w:jc w:val="both"/>
        <w:rPr>
          <w:sz w:val="22"/>
          <w:szCs w:val="22"/>
        </w:rPr>
      </w:pPr>
    </w:p>
    <w:p>
      <w:pPr>
        <w:ind w:left="567"/>
        <w:jc w:val="both"/>
        <w:rPr>
          <w:sz w:val="22"/>
          <w:szCs w:val="22"/>
        </w:rPr>
      </w:pPr>
      <w:r>
        <w:rPr>
          <w:sz w:val="22"/>
          <w:szCs w:val="22"/>
        </w:rPr>
        <w:t xml:space="preserve">15 Temmuz 1988 tarihinde 329 Sayılı Kanun Hükmünde Kararname çerçevesinde hizmet yelpazesindeki gelişmelere paralel olarak </w:t>
      </w:r>
      <w:r>
        <w:rPr>
          <w:sz w:val="22"/>
          <w:szCs w:val="22"/>
        </w:rPr>
        <w:t xml:space="preserve">T.C. </w:t>
      </w:r>
      <w:r>
        <w:rPr>
          <w:sz w:val="22"/>
          <w:szCs w:val="22"/>
        </w:rPr>
        <w:t>Başbakanlık ile ilişkilendirilerek, unvanı Türkiye Kalkınma Bankası A.Ş. olarak değiştirilmiştir. 20 Ocak 1989 tarihli ve 89/T-2 sayılı Yüksek Planlama Kurulu Kararı ile T.C. Turizm Bankası A.Ş.’ni tüm aktif ve pasifleriyle birlikte bünyesine alarak, sanayi sektörü yanında, turizm sektöründeki yatırımlara da finansman desteği sağlayan bir kalkınma ve yatır</w:t>
      </w:r>
      <w:r>
        <w:rPr>
          <w:sz w:val="22"/>
          <w:szCs w:val="22"/>
        </w:rPr>
        <w:t xml:space="preserve">ım bankası haline gelmiştir. 12 Şubat </w:t>
      </w:r>
      <w:r>
        <w:rPr>
          <w:sz w:val="22"/>
          <w:szCs w:val="22"/>
        </w:rPr>
        <w:t>1990 tarihli ve 401 sayılı Kanun Hükmünde Kararname ile de Banka statüsünün bazı maddeleri değiştirilmiştir.</w:t>
      </w:r>
    </w:p>
    <w:p>
      <w:pPr>
        <w:ind w:left="720"/>
        <w:jc w:val="both"/>
        <w:rPr>
          <w:sz w:val="22"/>
          <w:szCs w:val="22"/>
        </w:rPr>
      </w:pPr>
    </w:p>
    <w:p>
      <w:pPr>
        <w:ind w:left="567"/>
        <w:jc w:val="both"/>
        <w:rPr>
          <w:sz w:val="22"/>
          <w:szCs w:val="22"/>
        </w:rPr>
      </w:pPr>
      <w:r>
        <w:rPr>
          <w:sz w:val="22"/>
          <w:szCs w:val="22"/>
        </w:rPr>
        <w:t>14</w:t>
      </w:r>
      <w:r>
        <w:rPr>
          <w:sz w:val="22"/>
          <w:szCs w:val="22"/>
        </w:rPr>
        <w:t xml:space="preserve"> Ekim </w:t>
      </w:r>
      <w:r>
        <w:rPr>
          <w:sz w:val="22"/>
          <w:szCs w:val="22"/>
        </w:rPr>
        <w:t>1999 tarihli ve 4456 sayılı Kanunla, 13, 165, 329 ve 401 sayılı Kanun Hükmünde Kararnameler yürürlükten kaldırılarak, Banka</w:t>
      </w:r>
      <w:r>
        <w:rPr>
          <w:sz w:val="22"/>
          <w:szCs w:val="22"/>
        </w:rPr>
        <w:t>’</w:t>
      </w:r>
      <w:r>
        <w:rPr>
          <w:sz w:val="22"/>
          <w:szCs w:val="22"/>
        </w:rPr>
        <w:t xml:space="preserve">nın kuruluş ve faaliyet esasları yeniden düzenlenmiştir. </w:t>
      </w:r>
    </w:p>
    <w:p>
      <w:pPr>
        <w:ind w:left="360"/>
        <w:jc w:val="both"/>
        <w:rPr>
          <w:b/>
          <w:bCs/>
          <w:sz w:val="22"/>
          <w:szCs w:val="22"/>
        </w:rPr>
      </w:pPr>
    </w:p>
    <w:p>
      <w:pPr>
        <w:numPr>
          <w:ilvl w:val="0"/>
          <w:numId w:val="1"/>
        </w:numPr>
        <w:tabs>
          <w:tab w:val="clear" w:pos="720"/>
          <w:tab w:val="num" w:pos="567"/>
        </w:tabs>
        <w:ind w:left="567" w:hanging="567"/>
        <w:jc w:val="both"/>
        <w:rPr>
          <w:b/>
          <w:bCs/>
          <w:sz w:val="22"/>
          <w:szCs w:val="22"/>
        </w:rPr>
      </w:pPr>
      <w:r>
        <w:rPr>
          <w:b/>
          <w:bCs/>
          <w:sz w:val="22"/>
          <w:szCs w:val="22"/>
        </w:rPr>
        <w:t>Banka</w:t>
      </w:r>
      <w:r>
        <w:rPr>
          <w:b/>
          <w:bCs/>
          <w:sz w:val="22"/>
          <w:szCs w:val="22"/>
        </w:rPr>
        <w:t>’</w:t>
      </w:r>
      <w:r>
        <w:rPr>
          <w:b/>
          <w:bCs/>
          <w:sz w:val="22"/>
          <w:szCs w:val="22"/>
        </w:rPr>
        <w:t>nın sermaye yapısı, yönetim ve denetimini doğrudan veya dolaylı olarak tek başına veya birlikte elinde bulunduran ortakları, varsa bu hususlarda yıl içindeki değişiklikler ile dahil olduğu gruba ilişkin açıklama:</w:t>
      </w:r>
    </w:p>
    <w:p>
      <w:pPr>
        <w:ind w:left="360"/>
        <w:jc w:val="both"/>
        <w:rPr>
          <w:b/>
          <w:bCs/>
          <w:sz w:val="22"/>
          <w:szCs w:val="22"/>
        </w:rPr>
      </w:pPr>
    </w:p>
    <w:p>
      <w:pPr>
        <w:ind w:left="567"/>
        <w:jc w:val="both"/>
        <w:rPr>
          <w:sz w:val="22"/>
          <w:szCs w:val="22"/>
        </w:rPr>
      </w:pPr>
      <w:r>
        <w:rPr>
          <w:sz w:val="22"/>
          <w:szCs w:val="22"/>
        </w:rPr>
        <w:t>Kayıtlı sermaye sistemine tabi olan Banka</w:t>
      </w:r>
      <w:r>
        <w:rPr>
          <w:sz w:val="22"/>
          <w:szCs w:val="22"/>
        </w:rPr>
        <w:t>’</w:t>
      </w:r>
      <w:r>
        <w:rPr>
          <w:sz w:val="22"/>
          <w:szCs w:val="22"/>
        </w:rPr>
        <w:t>nın kayıtlı sermaye tavanı 500.000</w:t>
      </w:r>
      <w:r>
        <w:rPr>
          <w:sz w:val="22"/>
          <w:szCs w:val="22"/>
        </w:rPr>
        <w:t xml:space="preserve"> Bin </w:t>
      </w:r>
      <w:r>
        <w:rPr>
          <w:sz w:val="22"/>
          <w:szCs w:val="22"/>
        </w:rPr>
        <w:t>TL’d</w:t>
      </w:r>
      <w:r>
        <w:rPr>
          <w:sz w:val="22"/>
          <w:szCs w:val="22"/>
        </w:rPr>
        <w:t>i</w:t>
      </w:r>
      <w:r>
        <w:rPr>
          <w:sz w:val="22"/>
          <w:szCs w:val="22"/>
        </w:rPr>
        <w:t>r. Bu sermayeye göre çıkarılmış sermaye düzeyi 160.000</w:t>
      </w:r>
      <w:r>
        <w:rPr>
          <w:sz w:val="22"/>
          <w:szCs w:val="22"/>
        </w:rPr>
        <w:t xml:space="preserve"> Bin</w:t>
      </w:r>
      <w:r>
        <w:rPr>
          <w:sz w:val="22"/>
          <w:szCs w:val="22"/>
        </w:rPr>
        <w:t xml:space="preserve"> </w:t>
      </w:r>
      <w:r>
        <w:rPr>
          <w:sz w:val="22"/>
          <w:szCs w:val="22"/>
        </w:rPr>
        <w:t>TL olup, (Banka</w:t>
      </w:r>
      <w:r>
        <w:rPr>
          <w:sz w:val="22"/>
          <w:szCs w:val="22"/>
        </w:rPr>
        <w:t>’</w:t>
      </w:r>
      <w:r>
        <w:rPr>
          <w:sz w:val="22"/>
          <w:szCs w:val="22"/>
        </w:rPr>
        <w:t>nın sermayesi her biri</w:t>
      </w:r>
      <w:r>
        <w:rPr>
          <w:sz w:val="22"/>
          <w:szCs w:val="22"/>
        </w:rPr>
        <w:t xml:space="preserve"> 0,01 TL olan toplam 16 milyar </w:t>
      </w:r>
      <w:r>
        <w:rPr>
          <w:sz w:val="22"/>
          <w:szCs w:val="22"/>
        </w:rPr>
        <w:t>a</w:t>
      </w:r>
      <w:r>
        <w:rPr>
          <w:sz w:val="22"/>
          <w:szCs w:val="22"/>
        </w:rPr>
        <w:t>det hisseden oluşmaktadır) ortakları ve bu ortakların çıkarılmış sermayedeki</w:t>
      </w:r>
      <w:r>
        <w:rPr>
          <w:sz w:val="22"/>
          <w:szCs w:val="22"/>
        </w:rPr>
        <w:t xml:space="preserve"> </w:t>
      </w:r>
      <w:r>
        <w:rPr>
          <w:sz w:val="22"/>
          <w:szCs w:val="22"/>
        </w:rPr>
        <w:t>payları</w:t>
      </w:r>
      <w:r>
        <w:rPr>
          <w:sz w:val="22"/>
          <w:szCs w:val="22"/>
        </w:rPr>
        <w:t xml:space="preserve"> </w:t>
      </w:r>
      <w:r>
        <w:rPr>
          <w:sz w:val="22"/>
          <w:szCs w:val="22"/>
        </w:rPr>
        <w:t xml:space="preserve">aşağıda gösterilmiştir. </w:t>
      </w:r>
    </w:p>
    <w:p>
      <w:pPr>
        <w:ind w:left="720"/>
        <w:jc w:val="both"/>
        <w:rPr>
          <w:b/>
          <w:bCs/>
          <w:sz w:val="22"/>
          <w:szCs w:val="22"/>
        </w:rPr>
      </w:pPr>
    </w:p>
    <w:tbl>
      <w:tblPr>
        <w:tblW w:w="9184" w:type="dxa"/>
        <w:tblInd w:w="720" w:type="dxa"/>
        <w:tblLook w:val="04A0"/>
      </w:tblPr>
      <w:tblGrid>
        <w:gridCol w:w="2551"/>
        <w:gridCol w:w="1644"/>
        <w:gridCol w:w="1701"/>
        <w:gridCol w:w="1644"/>
        <w:gridCol w:w="1644"/>
      </w:tblGrid>
      <w:tr>
        <w:tc>
          <w:tcPr>
            <w:tcW w:w="2551" w:type="dxa"/>
            <w:tcBorders>
              <w:bottom w:val="single" w:sz="4" w:space="0" w:color="auto"/>
            </w:tcBorders>
            <w:vAlign w:val="bottom"/>
          </w:tcPr>
          <w:p>
            <w:pPr>
              <w:rPr>
                <w:b/>
                <w:bCs/>
                <w:sz w:val="22"/>
                <w:szCs w:val="22"/>
              </w:rPr>
            </w:pPr>
            <w:r>
              <w:rPr>
                <w:b/>
                <w:bCs/>
                <w:sz w:val="22"/>
                <w:szCs w:val="22"/>
              </w:rPr>
              <w:t>Ortaklar</w:t>
            </w:r>
          </w:p>
        </w:tc>
        <w:tc>
          <w:tcPr>
            <w:tcW w:w="1644"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 xml:space="preserve">Payı </w:t>
            </w:r>
          </w:p>
          <w:p>
            <w:pPr>
              <w:jc w:val="right"/>
              <w:rPr>
                <w:b/>
                <w:bCs/>
                <w:sz w:val="22"/>
                <w:szCs w:val="22"/>
              </w:rPr>
            </w:pPr>
            <w:r>
              <w:rPr>
                <w:b/>
                <w:bCs/>
                <w:sz w:val="22"/>
                <w:szCs w:val="22"/>
              </w:rPr>
              <w:t>(Bin TL)</w:t>
            </w:r>
          </w:p>
        </w:tc>
        <w:tc>
          <w:tcPr>
            <w:tcW w:w="1701"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Oranı</w:t>
            </w:r>
          </w:p>
          <w:p>
            <w:pPr>
              <w:jc w:val="right"/>
              <w:rPr>
                <w:b/>
                <w:bCs/>
                <w:sz w:val="22"/>
                <w:szCs w:val="22"/>
              </w:rPr>
            </w:pPr>
            <w:r>
              <w:rPr>
                <w:b/>
                <w:bCs/>
                <w:sz w:val="22"/>
                <w:szCs w:val="22"/>
              </w:rPr>
              <w:t xml:space="preserve"> (%)</w:t>
            </w:r>
          </w:p>
        </w:tc>
        <w:tc>
          <w:tcPr>
            <w:tcW w:w="1644" w:type="dxa"/>
            <w:tcBorders>
              <w:bottom w:val="single" w:sz="4" w:space="0" w:color="auto"/>
            </w:tcBorders>
            <w:vAlign w:val="bottom"/>
          </w:tcPr>
          <w:p>
            <w:pPr>
              <w:jc w:val="right"/>
              <w:rPr>
                <w:b/>
                <w:bCs/>
                <w:sz w:val="22"/>
                <w:szCs w:val="22"/>
              </w:rPr>
            </w:pPr>
            <w:r>
              <w:rPr>
                <w:b/>
                <w:bCs/>
                <w:sz w:val="22"/>
                <w:szCs w:val="22"/>
              </w:rPr>
              <w:t xml:space="preserve">Ödenmiş Sermaye </w:t>
            </w:r>
          </w:p>
          <w:p>
            <w:pPr>
              <w:jc w:val="right"/>
              <w:rPr>
                <w:b/>
                <w:bCs/>
                <w:sz w:val="22"/>
                <w:szCs w:val="22"/>
              </w:rPr>
            </w:pPr>
            <w:r>
              <w:rPr>
                <w:b/>
                <w:bCs/>
                <w:sz w:val="22"/>
                <w:szCs w:val="22"/>
              </w:rPr>
              <w:t>(Bin TL)</w:t>
            </w:r>
          </w:p>
        </w:tc>
        <w:tc>
          <w:tcPr>
            <w:tcW w:w="1644" w:type="dxa"/>
            <w:tcBorders>
              <w:bottom w:val="single" w:sz="4" w:space="0" w:color="auto"/>
            </w:tcBorders>
            <w:vAlign w:val="bottom"/>
          </w:tcPr>
          <w:p>
            <w:pPr>
              <w:jc w:val="right"/>
              <w:rPr>
                <w:b/>
                <w:bCs/>
                <w:sz w:val="22"/>
                <w:szCs w:val="22"/>
              </w:rPr>
            </w:pPr>
            <w:r>
              <w:rPr>
                <w:b/>
                <w:bCs/>
                <w:sz w:val="22"/>
                <w:szCs w:val="22"/>
              </w:rPr>
              <w:t xml:space="preserve">Ödenmemiş Sermaye </w:t>
            </w:r>
          </w:p>
          <w:p>
            <w:pPr>
              <w:jc w:val="right"/>
              <w:rPr>
                <w:b/>
                <w:bCs/>
                <w:sz w:val="22"/>
                <w:szCs w:val="22"/>
              </w:rPr>
            </w:pPr>
            <w:r>
              <w:rPr>
                <w:b/>
                <w:bCs/>
                <w:sz w:val="22"/>
                <w:szCs w:val="22"/>
              </w:rPr>
              <w:t>(Bin TL)</w:t>
            </w:r>
          </w:p>
        </w:tc>
      </w:tr>
      <w:tr>
        <w:tc>
          <w:tcPr>
            <w:tcW w:w="2551" w:type="dxa"/>
            <w:tcBorders>
              <w:top w:val="single" w:sz="4" w:space="0" w:color="auto"/>
            </w:tcBorders>
          </w:tcPr>
          <w:p>
            <w:pPr>
              <w:jc w:val="both"/>
              <w:rPr>
                <w:b/>
                <w:bCs/>
                <w:sz w:val="22"/>
                <w:szCs w:val="22"/>
              </w:rPr>
            </w:pPr>
            <w:r>
              <w:rPr>
                <w:sz w:val="22"/>
                <w:szCs w:val="22"/>
              </w:rPr>
              <w:t>T.C. Hazine Müs</w:t>
            </w:r>
            <w:r>
              <w:rPr>
                <w:sz w:val="22"/>
                <w:szCs w:val="22"/>
              </w:rPr>
              <w:t>teşarlığı</w:t>
            </w:r>
          </w:p>
        </w:tc>
        <w:tc>
          <w:tcPr>
            <w:tcW w:w="1644" w:type="dxa"/>
            <w:tcBorders>
              <w:top w:val="single" w:sz="4" w:space="0" w:color="auto"/>
            </w:tcBorders>
            <w:vAlign w:val="bottom"/>
          </w:tcPr>
          <w:p>
            <w:pPr>
              <w:jc w:val="right"/>
              <w:rPr>
                <w:bCs/>
                <w:sz w:val="22"/>
                <w:szCs w:val="22"/>
              </w:rPr>
            </w:pPr>
            <w:r>
              <w:rPr>
                <w:bCs/>
                <w:sz w:val="22"/>
                <w:szCs w:val="22"/>
              </w:rPr>
              <w:t>158.530</w:t>
            </w:r>
          </w:p>
        </w:tc>
        <w:tc>
          <w:tcPr>
            <w:tcW w:w="1701" w:type="dxa"/>
            <w:tcBorders>
              <w:top w:val="single" w:sz="4" w:space="0" w:color="auto"/>
            </w:tcBorders>
            <w:vAlign w:val="bottom"/>
          </w:tcPr>
          <w:p>
            <w:pPr>
              <w:jc w:val="right"/>
              <w:rPr>
                <w:bCs/>
                <w:sz w:val="22"/>
                <w:szCs w:val="22"/>
              </w:rPr>
            </w:pPr>
            <w:r>
              <w:rPr>
                <w:bCs/>
                <w:sz w:val="22"/>
                <w:szCs w:val="22"/>
              </w:rPr>
              <w:t>99,08</w:t>
            </w:r>
          </w:p>
        </w:tc>
        <w:tc>
          <w:tcPr>
            <w:tcW w:w="1644" w:type="dxa"/>
            <w:tcBorders>
              <w:top w:val="single" w:sz="4" w:space="0" w:color="auto"/>
            </w:tcBorders>
            <w:vAlign w:val="bottom"/>
          </w:tcPr>
          <w:p>
            <w:pPr>
              <w:jc w:val="right"/>
              <w:rPr>
                <w:bCs/>
                <w:sz w:val="22"/>
                <w:szCs w:val="22"/>
              </w:rPr>
            </w:pPr>
            <w:r>
              <w:rPr>
                <w:bCs/>
                <w:sz w:val="22"/>
                <w:szCs w:val="22"/>
              </w:rPr>
              <w:t>158.530</w:t>
            </w:r>
          </w:p>
        </w:tc>
        <w:tc>
          <w:tcPr>
            <w:tcW w:w="1644" w:type="dxa"/>
            <w:tcBorders>
              <w:top w:val="single" w:sz="4" w:space="0" w:color="auto"/>
            </w:tcBorders>
            <w:vAlign w:val="bottom"/>
          </w:tcPr>
          <w:p>
            <w:pPr>
              <w:jc w:val="right"/>
              <w:rPr>
                <w:bCs/>
                <w:sz w:val="22"/>
                <w:szCs w:val="22"/>
              </w:rPr>
            </w:pPr>
            <w:r>
              <w:rPr>
                <w:bCs/>
                <w:sz w:val="22"/>
                <w:szCs w:val="22"/>
              </w:rPr>
              <w:t>-</w:t>
            </w:r>
          </w:p>
        </w:tc>
      </w:tr>
      <w:tr>
        <w:tc>
          <w:tcPr>
            <w:tcW w:w="2551" w:type="dxa"/>
            <w:tcBorders>
              <w:bottom w:val="single" w:sz="4" w:space="0" w:color="auto"/>
            </w:tcBorders>
          </w:tcPr>
          <w:p>
            <w:pPr>
              <w:jc w:val="both"/>
              <w:rPr>
                <w:bCs/>
                <w:sz w:val="22"/>
                <w:szCs w:val="22"/>
              </w:rPr>
            </w:pPr>
            <w:r>
              <w:rPr>
                <w:bCs/>
                <w:sz w:val="22"/>
                <w:szCs w:val="22"/>
              </w:rPr>
              <w:t>Diğer Ortaklar</w:t>
            </w:r>
          </w:p>
        </w:tc>
        <w:tc>
          <w:tcPr>
            <w:tcW w:w="1644" w:type="dxa"/>
            <w:tcBorders>
              <w:bottom w:val="single" w:sz="4" w:space="0" w:color="auto"/>
            </w:tcBorders>
            <w:vAlign w:val="bottom"/>
          </w:tcPr>
          <w:p>
            <w:pPr>
              <w:jc w:val="right"/>
              <w:rPr>
                <w:bCs/>
                <w:sz w:val="22"/>
                <w:szCs w:val="22"/>
              </w:rPr>
            </w:pPr>
            <w:r>
              <w:rPr>
                <w:bCs/>
                <w:sz w:val="22"/>
                <w:szCs w:val="22"/>
              </w:rPr>
              <w:t>1.470</w:t>
            </w:r>
          </w:p>
        </w:tc>
        <w:tc>
          <w:tcPr>
            <w:tcW w:w="1701" w:type="dxa"/>
            <w:tcBorders>
              <w:bottom w:val="single" w:sz="4" w:space="0" w:color="auto"/>
            </w:tcBorders>
            <w:vAlign w:val="bottom"/>
          </w:tcPr>
          <w:p>
            <w:pPr>
              <w:jc w:val="right"/>
              <w:rPr>
                <w:bCs/>
                <w:sz w:val="22"/>
                <w:szCs w:val="22"/>
              </w:rPr>
            </w:pPr>
            <w:r>
              <w:rPr>
                <w:bCs/>
                <w:sz w:val="22"/>
                <w:szCs w:val="22"/>
              </w:rPr>
              <w:t>0,92</w:t>
            </w:r>
          </w:p>
        </w:tc>
        <w:tc>
          <w:tcPr>
            <w:tcW w:w="1644" w:type="dxa"/>
            <w:tcBorders>
              <w:bottom w:val="single" w:sz="4" w:space="0" w:color="auto"/>
            </w:tcBorders>
            <w:vAlign w:val="bottom"/>
          </w:tcPr>
          <w:p>
            <w:pPr>
              <w:jc w:val="right"/>
              <w:rPr>
                <w:bCs/>
                <w:sz w:val="22"/>
                <w:szCs w:val="22"/>
              </w:rPr>
            </w:pPr>
            <w:r>
              <w:rPr>
                <w:bCs/>
                <w:sz w:val="22"/>
                <w:szCs w:val="22"/>
              </w:rPr>
              <w:t>1.470</w:t>
            </w:r>
          </w:p>
        </w:tc>
        <w:tc>
          <w:tcPr>
            <w:tcW w:w="1644" w:type="dxa"/>
            <w:tcBorders>
              <w:bottom w:val="single" w:sz="4" w:space="0" w:color="auto"/>
            </w:tcBorders>
            <w:vAlign w:val="bottom"/>
          </w:tcPr>
          <w:p>
            <w:pPr>
              <w:jc w:val="right"/>
              <w:rPr>
                <w:bCs/>
                <w:sz w:val="22"/>
                <w:szCs w:val="22"/>
              </w:rPr>
            </w:pPr>
            <w:r>
              <w:rPr>
                <w:bCs/>
                <w:sz w:val="22"/>
                <w:szCs w:val="22"/>
              </w:rPr>
              <w:t>-</w:t>
            </w:r>
          </w:p>
        </w:tc>
      </w:tr>
      <w:tr>
        <w:tc>
          <w:tcPr>
            <w:tcW w:w="2551" w:type="dxa"/>
            <w:tcBorders>
              <w:top w:val="single" w:sz="4" w:space="0" w:color="auto"/>
              <w:bottom w:val="single" w:sz="4" w:space="0" w:color="auto"/>
            </w:tcBorders>
          </w:tcPr>
          <w:p>
            <w:pPr>
              <w:jc w:val="both"/>
              <w:rPr>
                <w:b/>
                <w:bCs/>
                <w:sz w:val="22"/>
                <w:szCs w:val="22"/>
              </w:rPr>
            </w:pPr>
            <w:r>
              <w:rPr>
                <w:b/>
                <w:bCs/>
                <w:sz w:val="22"/>
                <w:szCs w:val="22"/>
              </w:rPr>
              <w:t>Toplam</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701" w:type="dxa"/>
            <w:tcBorders>
              <w:top w:val="single" w:sz="4" w:space="0" w:color="auto"/>
              <w:bottom w:val="single" w:sz="4" w:space="0" w:color="auto"/>
            </w:tcBorders>
            <w:vAlign w:val="bottom"/>
          </w:tcPr>
          <w:p>
            <w:pPr>
              <w:jc w:val="right"/>
              <w:rPr>
                <w:b/>
                <w:bCs/>
                <w:sz w:val="22"/>
                <w:szCs w:val="22"/>
              </w:rPr>
            </w:pPr>
            <w:r>
              <w:rPr>
                <w:b/>
                <w:bCs/>
                <w:sz w:val="22"/>
                <w:szCs w:val="22"/>
              </w:rPr>
              <w:t>100,00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w:t>
            </w:r>
          </w:p>
        </w:tc>
      </w:tr>
    </w:tbl>
    <w:p>
      <w:pPr>
        <w:jc w:val="both"/>
        <w:rPr>
          <w:b/>
          <w:bCs/>
          <w:sz w:val="22"/>
          <w:szCs w:val="22"/>
        </w:rPr>
      </w:pPr>
    </w:p>
    <w:p>
      <w:pPr>
        <w:numPr>
          <w:ilvl w:val="0"/>
          <w:numId w:val="1"/>
        </w:numPr>
        <w:tabs>
          <w:tab w:val="clear" w:pos="720"/>
          <w:tab w:val="num" w:pos="567"/>
        </w:tabs>
        <w:ind w:left="567"/>
        <w:jc w:val="both"/>
        <w:rPr>
          <w:b/>
          <w:bCs/>
          <w:sz w:val="22"/>
          <w:szCs w:val="22"/>
        </w:rPr>
      </w:pPr>
      <w:r>
        <w:rPr>
          <w:b/>
          <w:bCs/>
          <w:sz w:val="22"/>
          <w:szCs w:val="22"/>
        </w:rPr>
        <w:t>Banka</w:t>
      </w:r>
      <w:r>
        <w:rPr>
          <w:b/>
          <w:bCs/>
          <w:sz w:val="22"/>
          <w:szCs w:val="22"/>
        </w:rPr>
        <w:t>’</w:t>
      </w:r>
      <w:r>
        <w:rPr>
          <w:b/>
          <w:bCs/>
          <w:sz w:val="22"/>
          <w:szCs w:val="22"/>
        </w:rPr>
        <w:t>nın, yönetim kurulu başkan ve üyeleri, denetim kurulu üyeleri ile genel müdür ve yardımcılarının varsa bankada sahip oldukları paylara</w:t>
      </w:r>
      <w:r>
        <w:rPr>
          <w:b/>
          <w:bCs/>
          <w:sz w:val="22"/>
          <w:szCs w:val="22"/>
        </w:rPr>
        <w:t xml:space="preserve"> ve sorumluluk alanlarına</w:t>
      </w:r>
      <w:r>
        <w:rPr>
          <w:b/>
          <w:bCs/>
          <w:sz w:val="22"/>
          <w:szCs w:val="22"/>
        </w:rPr>
        <w:t xml:space="preserve"> ilişkin açıklamalar:</w:t>
      </w:r>
    </w:p>
    <w:p>
      <w:pPr>
        <w:ind w:left="360"/>
        <w:jc w:val="both"/>
        <w:rPr>
          <w:b/>
          <w:bCs/>
          <w:sz w:val="22"/>
          <w:szCs w:val="22"/>
        </w:rPr>
      </w:pPr>
    </w:p>
    <w:p>
      <w:pPr>
        <w:tabs>
          <w:tab w:val="left" w:pos="567"/>
        </w:tabs>
        <w:ind w:firstLine="567"/>
        <w:jc w:val="both"/>
        <w:rPr>
          <w:b/>
          <w:bCs/>
          <w:sz w:val="22"/>
          <w:szCs w:val="22"/>
        </w:rPr>
      </w:pPr>
      <w:r>
        <w:rPr>
          <w:b/>
          <w:bCs/>
          <w:sz w:val="22"/>
          <w:szCs w:val="22"/>
        </w:rPr>
        <w:t xml:space="preserve">Yönetim Kurulu Başkan ve Üyeleri : </w:t>
      </w:r>
    </w:p>
    <w:tbl>
      <w:tblPr>
        <w:tblW w:w="6576" w:type="dxa"/>
        <w:tblInd w:w="534" w:type="dxa"/>
        <w:tblLook w:val="04A0"/>
      </w:tblPr>
      <w:tblGrid>
        <w:gridCol w:w="2976"/>
        <w:gridCol w:w="283"/>
        <w:gridCol w:w="3317"/>
      </w:tblGrid>
      <w:tr>
        <w:tc>
          <w:tcPr>
            <w:tcW w:w="2976" w:type="dxa"/>
          </w:tcPr>
          <w:p>
            <w:pPr>
              <w:jc w:val="both"/>
              <w:rPr>
                <w:sz w:val="22"/>
                <w:szCs w:val="22"/>
              </w:rPr>
            </w:pPr>
            <w:r>
              <w:rPr>
                <w:sz w:val="22"/>
                <w:szCs w:val="22"/>
              </w:rPr>
              <w:t>Yönetim Kurulu Başkan</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Ah</w:t>
            </w:r>
            <w:r>
              <w:rPr>
                <w:sz w:val="22"/>
                <w:szCs w:val="22"/>
              </w:rPr>
              <w:t>met</w:t>
            </w:r>
            <w:r>
              <w:rPr>
                <w:sz w:val="22"/>
                <w:szCs w:val="22"/>
              </w:rPr>
              <w:t xml:space="preserve"> </w:t>
            </w:r>
            <w:r>
              <w:rPr>
                <w:sz w:val="22"/>
                <w:szCs w:val="22"/>
              </w:rPr>
              <w:t>YAMAN</w:t>
            </w:r>
            <w:r>
              <w:rPr>
                <w:i/>
                <w:sz w:val="20"/>
                <w:szCs w:val="20"/>
                <w:vertAlign w:val="superscript"/>
              </w:rPr>
              <w:t>(*)</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976" w:type="dxa"/>
          </w:tcPr>
          <w:p>
            <w:pPr>
              <w:jc w:val="both"/>
              <w:rPr>
                <w:sz w:val="22"/>
                <w:szCs w:val="22"/>
              </w:rPr>
            </w:pPr>
            <w:r>
              <w:rPr>
                <w:sz w:val="22"/>
                <w:szCs w:val="22"/>
              </w:rPr>
              <w:t>Yönetim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Hakan TOKAÇ</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Özcan TENGİLİMOĞLU</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TOKGÖZ</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Mehmet AYDIN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Şerif ÇELENK</w:t>
            </w:r>
          </w:p>
        </w:tc>
      </w:tr>
    </w:tbl>
    <w:p>
      <w:pPr>
        <w:pStyle w:val="1tipi"/>
        <w:tabs>
          <w:tab w:val="clear" w:pos="1134"/>
          <w:tab w:val="left" w:pos="567"/>
        </w:tabs>
        <w:rPr>
          <w:rFonts w:ascii="Times New Roman" w:hAnsi="Times New Roman" w:cs="Times New Roman"/>
          <w:sz w:val="22"/>
          <w:szCs w:val="22"/>
          <w:lang w:val="tr-TR"/>
        </w:rPr>
      </w:pPr>
    </w:p>
    <w:p>
      <w:pPr>
        <w:pStyle w:val="1tipi"/>
        <w:tabs>
          <w:tab w:val="clear" w:pos="1134"/>
          <w:tab w:val="left" w:pos="993"/>
        </w:tabs>
        <w:ind w:left="993" w:hanging="426"/>
        <w:rPr>
          <w:rFonts w:ascii="Times New Roman" w:hAnsi="Times New Roman" w:cs="Times New Roman"/>
          <w:sz w:val="20"/>
          <w:szCs w:val="20"/>
          <w:lang w:val="tr-TR"/>
        </w:rPr>
      </w:pPr>
      <w:r>
        <w:rPr>
          <w:rFonts w:ascii="Times New Roman" w:hAnsi="Times New Roman" w:cs="Times New Roman"/>
          <w:sz w:val="20"/>
          <w:szCs w:val="20"/>
          <w:lang w:val="tr-TR"/>
        </w:rPr>
        <w:t>(*)</w:t>
      </w:r>
      <w:r>
        <w:rPr>
          <w:rFonts w:ascii="Times New Roman" w:hAnsi="Times New Roman" w:cs="Times New Roman"/>
          <w:sz w:val="20"/>
          <w:szCs w:val="20"/>
          <w:lang w:val="tr-TR"/>
        </w:rPr>
        <w:tab/>
      </w:r>
      <w:r>
        <w:rPr>
          <w:rFonts w:ascii="Times New Roman" w:hAnsi="Times New Roman" w:cs="Times New Roman"/>
          <w:sz w:val="20"/>
          <w:szCs w:val="20"/>
          <w:lang w:val="tr-TR"/>
        </w:rPr>
        <w:t>Ahmet Yaman, 15 Mart 2011 tarihinde yönetim kurulu başkanlığına vekaleten atanmıştır.</w:t>
      </w:r>
    </w:p>
    <w:p>
      <w:pPr>
        <w:pStyle w:val="1tipi"/>
        <w:tabs>
          <w:tab w:val="clear" w:pos="1134"/>
          <w:tab w:val="left" w:pos="567"/>
        </w:tabs>
        <w:rPr>
          <w:rFonts w:ascii="Times New Roman" w:hAnsi="Times New Roman" w:cs="Times New Roman"/>
          <w:sz w:val="20"/>
          <w:szCs w:val="20"/>
          <w:lang w:val="tr-TR"/>
        </w:rPr>
      </w:pPr>
      <w:r>
        <w:rPr>
          <w:rFonts w:ascii="Times New Roman" w:hAnsi="Times New Roman" w:cs="Times New Roman"/>
          <w:sz w:val="20"/>
          <w:szCs w:val="20"/>
          <w:lang w:val="tr-TR"/>
        </w:rPr>
        <w:br w:type="page"/>
      </w:r>
    </w:p>
    <w:p>
      <w:pPr>
        <w:pStyle w:val="1tipi"/>
        <w:tabs>
          <w:tab w:val="clear" w:pos="1134"/>
          <w:tab w:val="left" w:pos="0"/>
        </w:tabs>
        <w:ind w:left="567" w:hanging="567"/>
        <w:rPr>
          <w:rFonts w:ascii="Times New Roman" w:hAnsi="Times New Roman" w:cs="Times New Roman"/>
          <w:b/>
          <w:bCs/>
          <w:sz w:val="22"/>
          <w:szCs w:val="22"/>
          <w:lang w:val="tr-TR"/>
        </w:rPr>
      </w:pPr>
    </w:p>
    <w:p>
      <w:pPr>
        <w:pStyle w:val="1tipi"/>
        <w:tabs>
          <w:tab w:val="clear" w:pos="1134"/>
          <w:tab w:val="left" w:pos="0"/>
        </w:tabs>
        <w:ind w:left="567" w:hanging="567"/>
        <w:rPr>
          <w:rFonts w:ascii="Times New Roman" w:hAnsi="Times New Roman" w:cs="Times New Roman"/>
          <w:b/>
          <w:bCs/>
          <w:sz w:val="22"/>
          <w:szCs w:val="22"/>
          <w:lang w:val="tr-TR"/>
        </w:rPr>
      </w:pPr>
      <w:r>
        <w:rPr>
          <w:rFonts w:ascii="Times New Roman" w:hAnsi="Times New Roman" w:cs="Times New Roman"/>
          <w:b/>
          <w:bCs/>
          <w:sz w:val="22"/>
          <w:szCs w:val="22"/>
          <w:lang w:val="tr-TR"/>
        </w:rPr>
        <w:t>III-</w:t>
      </w:r>
      <w:r>
        <w:rPr>
          <w:rFonts w:ascii="Times New Roman" w:hAnsi="Times New Roman" w:cs="Times New Roman"/>
          <w:b/>
          <w:bCs/>
          <w:sz w:val="22"/>
          <w:szCs w:val="22"/>
          <w:lang w:val="tr-TR"/>
        </w:rPr>
        <w:tab/>
        <w:t>Banka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nın, yönetim kurulu başkan ve üyeleri, denetim kurulu üyeleri ile genel müdür ve yardımcılarının varsa </w:t>
      </w:r>
      <w:r>
        <w:rPr>
          <w:rFonts w:ascii="Times New Roman" w:hAnsi="Times New Roman" w:cs="Times New Roman"/>
          <w:b/>
          <w:bCs/>
          <w:sz w:val="22"/>
          <w:szCs w:val="22"/>
          <w:lang w:val="tr-TR"/>
        </w:rPr>
        <w:t>B</w:t>
      </w:r>
      <w:r>
        <w:rPr>
          <w:rFonts w:ascii="Times New Roman" w:hAnsi="Times New Roman" w:cs="Times New Roman"/>
          <w:b/>
          <w:bCs/>
          <w:sz w:val="22"/>
          <w:szCs w:val="22"/>
          <w:lang w:val="tr-TR"/>
        </w:rPr>
        <w:t>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da sahip oldukları paylara </w:t>
      </w:r>
      <w:r>
        <w:rPr>
          <w:rFonts w:ascii="Times New Roman" w:hAnsi="Times New Roman" w:cs="Times New Roman"/>
          <w:b/>
          <w:bCs/>
          <w:sz w:val="22"/>
          <w:szCs w:val="22"/>
        </w:rPr>
        <w:t>ve sorumluluk alanlarına</w:t>
      </w:r>
      <w:r>
        <w:rPr>
          <w:rFonts w:ascii="Times New Roman" w:hAnsi="Times New Roman" w:cs="Times New Roman"/>
          <w:b/>
          <w:bCs/>
          <w:sz w:val="22"/>
          <w:szCs w:val="22"/>
          <w:lang w:val="tr-TR"/>
        </w:rPr>
        <w:t xml:space="preserve"> </w:t>
      </w:r>
      <w:r>
        <w:rPr>
          <w:rFonts w:ascii="Times New Roman" w:hAnsi="Times New Roman" w:cs="Times New Roman"/>
          <w:b/>
          <w:bCs/>
          <w:sz w:val="22"/>
          <w:szCs w:val="22"/>
          <w:lang w:val="tr-TR"/>
        </w:rPr>
        <w:t>ilişkin açıklamalar (devam ediyor):</w:t>
      </w:r>
    </w:p>
    <w:p>
      <w:pPr>
        <w:jc w:val="both"/>
        <w:rPr>
          <w:sz w:val="22"/>
          <w:szCs w:val="22"/>
        </w:rPr>
      </w:pPr>
    </w:p>
    <w:tbl>
      <w:tblPr>
        <w:tblW w:w="6435" w:type="dxa"/>
        <w:tblInd w:w="675" w:type="dxa"/>
        <w:tblLook w:val="04A0"/>
      </w:tblPr>
      <w:tblGrid>
        <w:gridCol w:w="2835"/>
        <w:gridCol w:w="283"/>
        <w:gridCol w:w="3317"/>
      </w:tblGrid>
      <w:tr>
        <w:tc>
          <w:tcPr>
            <w:tcW w:w="2835" w:type="dxa"/>
          </w:tcPr>
          <w:p>
            <w:pPr>
              <w:jc w:val="both"/>
              <w:rPr>
                <w:sz w:val="22"/>
                <w:szCs w:val="22"/>
              </w:rPr>
            </w:pPr>
            <w:r>
              <w:rPr>
                <w:sz w:val="22"/>
                <w:szCs w:val="22"/>
              </w:rPr>
              <w:t>Denetim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Mustafa GÜNEŞ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Ferhat KARAŞ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Davut KARATAŞ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Genel Müdür</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r>
              <w:rPr>
                <w:i/>
                <w:sz w:val="20"/>
                <w:szCs w:val="20"/>
                <w:vertAlign w:val="superscript"/>
              </w:rPr>
              <w:t>(*)</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Genel MüdürYardımcıları</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Bahattin SEKKİN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Adnan YALÇINCI</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Zekai IŞILDAR</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YAŞAR</w:t>
            </w:r>
          </w:p>
          <w:p>
            <w:pPr>
              <w:jc w:val="both"/>
              <w:rPr>
                <w:sz w:val="22"/>
                <w:szCs w:val="22"/>
              </w:rPr>
            </w:pPr>
          </w:p>
        </w:tc>
      </w:tr>
      <w:tr>
        <w:tc>
          <w:tcPr>
            <w:tcW w:w="2835" w:type="dxa"/>
          </w:tcPr>
          <w:p>
            <w:pPr>
              <w:jc w:val="both"/>
              <w:rPr>
                <w:sz w:val="22"/>
                <w:szCs w:val="22"/>
              </w:rPr>
            </w:pPr>
            <w:r>
              <w:rPr>
                <w:sz w:val="22"/>
                <w:szCs w:val="22"/>
              </w:rPr>
              <w:t>Teftiş Kurulu Başkan Vekili</w:t>
            </w:r>
          </w:p>
        </w:tc>
        <w:tc>
          <w:tcPr>
            <w:tcW w:w="283" w:type="dxa"/>
          </w:tcPr>
          <w:p>
            <w:pPr>
              <w:jc w:val="both"/>
              <w:rPr>
                <w:sz w:val="22"/>
                <w:szCs w:val="22"/>
              </w:rPr>
            </w:pPr>
            <w:r>
              <w:rPr>
                <w:sz w:val="22"/>
                <w:szCs w:val="22"/>
              </w:rPr>
              <w:t>:</w:t>
            </w:r>
          </w:p>
        </w:tc>
        <w:tc>
          <w:tcPr>
            <w:tcW w:w="3317" w:type="dxa"/>
          </w:tcPr>
          <w:p>
            <w:pPr>
              <w:jc w:val="both"/>
              <w:rPr>
                <w:sz w:val="22"/>
                <w:szCs w:val="22"/>
              </w:rPr>
            </w:pPr>
            <w:r>
              <w:rPr>
                <w:bCs/>
                <w:sz w:val="22"/>
                <w:szCs w:val="22"/>
              </w:rPr>
              <w:t>Murat DOĞUŞLU</w:t>
            </w:r>
            <w:r>
              <w:rPr>
                <w:bCs/>
                <w:sz w:val="22"/>
                <w:szCs w:val="22"/>
              </w:rPr>
              <w:t xml:space="preserve"> </w:t>
            </w:r>
          </w:p>
        </w:tc>
      </w:tr>
    </w:tbl>
    <w:p>
      <w:pPr>
        <w:pStyle w:val="1tipi"/>
        <w:tabs>
          <w:tab w:val="clear" w:pos="1134"/>
          <w:tab w:val="left" w:pos="993"/>
          <w:tab w:val="left" w:pos="2835"/>
        </w:tabs>
        <w:ind w:left="540"/>
        <w:rPr>
          <w:rFonts w:ascii="Times New Roman" w:hAnsi="Times New Roman" w:cs="Times New Roman"/>
          <w:sz w:val="18"/>
          <w:szCs w:val="18"/>
          <w:lang w:val="tr-TR"/>
        </w:rPr>
      </w:pPr>
    </w:p>
    <w:p>
      <w:pPr>
        <w:pStyle w:val="1tipi"/>
        <w:tabs>
          <w:tab w:val="clear" w:pos="1134"/>
          <w:tab w:val="left" w:pos="993"/>
          <w:tab w:val="left" w:pos="2835"/>
        </w:tabs>
        <w:ind w:left="540"/>
        <w:rPr>
          <w:rFonts w:ascii="Times New Roman" w:hAnsi="Times New Roman" w:cs="Times New Roman"/>
          <w:sz w:val="18"/>
          <w:szCs w:val="18"/>
          <w:lang w:val="tr-TR"/>
        </w:rPr>
      </w:pPr>
      <w:r>
        <w:rPr>
          <w:rFonts w:ascii="Times New Roman" w:hAnsi="Times New Roman" w:cs="Times New Roman"/>
          <w:sz w:val="18"/>
          <w:szCs w:val="18"/>
          <w:lang w:val="tr-TR"/>
        </w:rPr>
        <w:t>(*)</w:t>
      </w:r>
      <w:r>
        <w:rPr>
          <w:rFonts w:ascii="Times New Roman" w:hAnsi="Times New Roman" w:cs="Times New Roman"/>
          <w:sz w:val="18"/>
          <w:szCs w:val="18"/>
          <w:lang w:val="tr-TR"/>
        </w:rPr>
        <w:tab/>
        <w:t xml:space="preserve">Metin Pehlivan, </w:t>
      </w:r>
      <w:r>
        <w:rPr>
          <w:rFonts w:ascii="Times New Roman" w:hAnsi="Times New Roman" w:cs="Times New Roman"/>
          <w:bCs/>
          <w:sz w:val="18"/>
          <w:szCs w:val="18"/>
          <w:lang w:val="tr-TR"/>
        </w:rPr>
        <w:t>15 Mart 2011 tarihinde genel müdürlüğe vekaleten atanmıştır</w:t>
      </w:r>
      <w:r>
        <w:rPr>
          <w:rFonts w:ascii="Times New Roman" w:hAnsi="Times New Roman" w:cs="Times New Roman"/>
          <w:sz w:val="18"/>
          <w:szCs w:val="18"/>
          <w:lang w:val="tr-TR"/>
        </w:rPr>
        <w:t>.</w:t>
      </w: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r>
        <w:rPr>
          <w:rFonts w:ascii="Times New Roman" w:hAnsi="Times New Roman" w:cs="Times New Roman"/>
          <w:sz w:val="22"/>
          <w:szCs w:val="22"/>
          <w:lang w:val="tr-TR"/>
        </w:rPr>
        <w:t xml:space="preserve">Yukarıda ve önceki sayfada belirtilen kişilerin Banka’da </w:t>
      </w:r>
      <w:r>
        <w:rPr>
          <w:rFonts w:ascii="Times New Roman" w:hAnsi="Times New Roman" w:cs="Times New Roman"/>
          <w:sz w:val="22"/>
          <w:szCs w:val="22"/>
          <w:lang w:val="tr-TR"/>
        </w:rPr>
        <w:t xml:space="preserve">hisselerin halka açık olmayan kısmında </w:t>
      </w:r>
      <w:r>
        <w:rPr>
          <w:rFonts w:ascii="Times New Roman" w:hAnsi="Times New Roman" w:cs="Times New Roman"/>
          <w:sz w:val="22"/>
          <w:szCs w:val="22"/>
          <w:lang w:val="tr-TR"/>
        </w:rPr>
        <w:t>sahip oldukları pay bulunmamaktadır.</w:t>
      </w:r>
    </w:p>
    <w:p>
      <w:pPr>
        <w:pStyle w:val="1tipi"/>
        <w:tabs>
          <w:tab w:val="clear" w:pos="1134"/>
          <w:tab w:val="left" w:pos="3945"/>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IV-</w:t>
      </w:r>
      <w:r>
        <w:rPr>
          <w:b/>
          <w:bCs/>
          <w:sz w:val="22"/>
          <w:szCs w:val="22"/>
        </w:rPr>
        <w:tab/>
      </w:r>
      <w:r>
        <w:rPr>
          <w:b/>
          <w:bCs/>
          <w:sz w:val="22"/>
          <w:szCs w:val="22"/>
        </w:rPr>
        <w:t>Banka</w:t>
      </w:r>
      <w:r>
        <w:rPr>
          <w:b/>
          <w:bCs/>
          <w:sz w:val="22"/>
          <w:szCs w:val="22"/>
        </w:rPr>
        <w:t>’</w:t>
      </w:r>
      <w:r>
        <w:rPr>
          <w:b/>
          <w:bCs/>
          <w:sz w:val="22"/>
          <w:szCs w:val="22"/>
        </w:rPr>
        <w:t>da nitelikli pay sahibi olan kişi ve kuruluşlara ilişkin açıklamalar:</w:t>
      </w:r>
    </w:p>
    <w:p>
      <w:pPr>
        <w:jc w:val="both"/>
        <w:rPr>
          <w:b/>
          <w:bCs/>
          <w:sz w:val="22"/>
          <w:szCs w:val="22"/>
        </w:rPr>
      </w:pPr>
    </w:p>
    <w:p>
      <w:pPr>
        <w:ind w:firstLine="567"/>
        <w:jc w:val="both"/>
        <w:rPr>
          <w:sz w:val="22"/>
          <w:szCs w:val="22"/>
        </w:rPr>
      </w:pPr>
      <w:r>
        <w:rPr>
          <w:sz w:val="22"/>
          <w:szCs w:val="22"/>
        </w:rPr>
        <w:t xml:space="preserve">Bankanın %99,08’i </w:t>
      </w:r>
      <w:r>
        <w:rPr>
          <w:sz w:val="22"/>
          <w:szCs w:val="22"/>
        </w:rPr>
        <w:t xml:space="preserve">T.C. </w:t>
      </w:r>
      <w:r>
        <w:rPr>
          <w:sz w:val="22"/>
          <w:szCs w:val="22"/>
        </w:rPr>
        <w:t>Hazine Müsteşarlığı</w:t>
      </w:r>
      <w:r>
        <w:rPr>
          <w:sz w:val="22"/>
          <w:szCs w:val="22"/>
        </w:rPr>
        <w:t>’</w:t>
      </w:r>
      <w:r>
        <w:rPr>
          <w:sz w:val="22"/>
          <w:szCs w:val="22"/>
        </w:rPr>
        <w:t>na aittir.</w:t>
      </w:r>
    </w:p>
    <w:p>
      <w:pPr>
        <w:pStyle w:val="1tipi"/>
        <w:tabs>
          <w:tab w:val="clear" w:pos="1134"/>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V-</w:t>
      </w:r>
      <w:r>
        <w:rPr>
          <w:b/>
          <w:bCs/>
          <w:sz w:val="22"/>
          <w:szCs w:val="22"/>
        </w:rPr>
        <w:tab/>
      </w:r>
      <w:r>
        <w:rPr>
          <w:b/>
          <w:bCs/>
          <w:sz w:val="22"/>
          <w:szCs w:val="22"/>
        </w:rPr>
        <w:t>Banka</w:t>
      </w:r>
      <w:r>
        <w:rPr>
          <w:b/>
          <w:bCs/>
          <w:sz w:val="22"/>
          <w:szCs w:val="22"/>
        </w:rPr>
        <w:t>’</w:t>
      </w:r>
      <w:r>
        <w:rPr>
          <w:b/>
          <w:bCs/>
          <w:sz w:val="22"/>
          <w:szCs w:val="22"/>
        </w:rPr>
        <w:t>nın hizmet türü ve faaliyet alanlarına ilişkin özet bilgi:</w:t>
      </w:r>
    </w:p>
    <w:p>
      <w:pPr>
        <w:jc w:val="both"/>
        <w:rPr>
          <w:b/>
          <w:bCs/>
          <w:sz w:val="22"/>
          <w:szCs w:val="22"/>
        </w:rPr>
      </w:pPr>
    </w:p>
    <w:p>
      <w:pPr>
        <w:ind w:left="567"/>
        <w:jc w:val="both"/>
        <w:rPr>
          <w:sz w:val="22"/>
          <w:szCs w:val="22"/>
        </w:rPr>
      </w:pPr>
      <w:r>
        <w:rPr>
          <w:sz w:val="22"/>
          <w:szCs w:val="22"/>
        </w:rPr>
        <w:t>Bir kalkınma ve yatırım bankası olan Türkiye Kalkınma Bankası A.Ş.’nin faaliyet alanı; Türkiye’nin kalkınması için “Anonim Şirket” statüsündeki teşebbüslere k</w:t>
      </w:r>
      <w:r>
        <w:rPr>
          <w:sz w:val="22"/>
          <w:szCs w:val="22"/>
        </w:rPr>
        <w:t>a</w:t>
      </w:r>
      <w:r>
        <w:rPr>
          <w:sz w:val="22"/>
          <w:szCs w:val="22"/>
        </w:rPr>
        <w:t>rlılık ve verimlili</w:t>
      </w:r>
      <w:r>
        <w:rPr>
          <w:sz w:val="22"/>
          <w:szCs w:val="22"/>
        </w:rPr>
        <w:t xml:space="preserve">k anlayışı içinde kredi vermek, </w:t>
      </w:r>
      <w:r>
        <w:rPr>
          <w:sz w:val="22"/>
          <w:szCs w:val="22"/>
        </w:rPr>
        <w:t>etmek suretiyle finansman ve işletme desteği sağlamak, yurtiçi ve yurtdışı tasarrufları kalkınmaya dönük yatırımlara yöneltmek, sermaye piyasasının gelişmesine katkıda bulunmak, yurtiçi, yurtdışı ve uluslararası ortak yatırımları finanse etmek ve her türlü kalkınma ve yatırım bankacılığı işlevlerini yürütmekti</w:t>
      </w:r>
      <w:r>
        <w:rPr>
          <w:sz w:val="22"/>
          <w:szCs w:val="22"/>
        </w:rPr>
        <w:t>r.</w:t>
      </w:r>
    </w:p>
    <w:p>
      <w:pPr>
        <w:rPr>
          <w:b/>
          <w:bCs/>
          <w:sz w:val="22"/>
          <w:szCs w:val="22"/>
        </w:rPr>
        <w:sectPr>
          <w:headerReference w:type="default" r:id="rId58"/>
          <w:footerReference w:type="default" r:id="rId59"/>
          <w:pgSz w:w="11907" w:h="16840" w:code="9"/>
          <w:pgMar w:top="680" w:right="964" w:bottom="567" w:left="1134" w:header="680" w:footer="680" w:gutter="0"/>
          <w:pgNumType w:start="1"/>
          <w:cols w:space="708"/>
          <w:docGrid w:linePitch="326"/>
        </w:sectPr>
      </w:pPr>
    </w:p>
    <w:p>
      <w:pPr>
        <w:rPr>
          <w:b/>
          <w:bCs/>
          <w:sz w:val="22"/>
          <w:szCs w:val="22"/>
        </w:rPr>
      </w:pPr>
    </w:p>
    <w:p>
      <w:pPr>
        <w:rPr>
          <w:b/>
          <w:bCs/>
          <w:sz w:val="22"/>
          <w:szCs w:val="22"/>
        </w:rPr>
      </w:pPr>
    </w:p>
    <w:p>
      <w:pPr>
        <w:rPr>
          <w:b/>
          <w:bCs/>
          <w:sz w:val="22"/>
          <w:szCs w:val="22"/>
        </w:rPr>
      </w:pPr>
    </w:p>
    <w:p>
      <w:pPr>
        <w:rPr>
          <w:b/>
          <w:bCs/>
          <w:sz w:val="22"/>
          <w:szCs w:val="22"/>
        </w:rPr>
      </w:pPr>
    </w:p>
    <w:p>
      <w:pPr>
        <w:jc w:val="center"/>
        <w:rPr>
          <w:b/>
          <w:bCs/>
          <w:sz w:val="22"/>
          <w:szCs w:val="22"/>
        </w:rPr>
      </w:pPr>
      <w:r>
        <w:rPr>
          <w:b/>
          <w:bCs/>
          <w:sz w:val="22"/>
          <w:szCs w:val="22"/>
        </w:rPr>
        <w:t>İKİNCİ BÖLÜ</w:t>
      </w:r>
      <w:r>
        <w:rPr>
          <w:b/>
          <w:bCs/>
          <w:sz w:val="22"/>
          <w:szCs w:val="22"/>
        </w:rPr>
        <w:t>M</w:t>
      </w:r>
    </w:p>
    <w:p>
      <w:pPr>
        <w:jc w:val="center"/>
        <w:rPr>
          <w:b/>
          <w:bCs/>
          <w:sz w:val="22"/>
          <w:szCs w:val="22"/>
        </w:rPr>
      </w:pPr>
      <w:r>
        <w:rPr>
          <w:b/>
          <w:bCs/>
          <w:sz w:val="22"/>
          <w:szCs w:val="22"/>
        </w:rPr>
        <w:t>KONSOLİDE OLMAYAN FİNANSAL TABLOLAR</w:t>
      </w:r>
    </w:p>
    <w:p>
      <w:pPr>
        <w:jc w:val="both"/>
        <w:rPr>
          <w:snapToGrid w:val="0"/>
          <w:sz w:val="22"/>
          <w:szCs w:val="22"/>
        </w:rPr>
      </w:pPr>
    </w:p>
    <w:p>
      <w:pPr>
        <w:jc w:val="both"/>
        <w:rPr>
          <w:snapToGrid w:val="0"/>
          <w:sz w:val="22"/>
          <w:szCs w:val="22"/>
        </w:rPr>
      </w:pPr>
    </w:p>
    <w:tbl>
      <w:tblPr>
        <w:tblW w:w="0" w:type="auto"/>
        <w:tblLook w:val="04A0"/>
      </w:tblPr>
      <w:tblGrid>
        <w:gridCol w:w="675"/>
        <w:gridCol w:w="9072"/>
      </w:tblGrid>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Bilanço</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Nazım hesaplar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Gelir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IV-</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Özkaynaklarda muhasebeleştirilen gelir-gider kalemlerine ilişkin tablo</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Özkaynak değişim tablosu</w:t>
            </w:r>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VI-</w:t>
            </w:r>
          </w:p>
        </w:tc>
        <w:tc>
          <w:tcPr>
            <w:tcW w:w="9072" w:type="dxa"/>
            <w:vAlign w:val="bottom"/>
          </w:tcPr>
          <w:p>
            <w:pPr>
              <w:pStyle w:val="1tipi"/>
              <w:tabs>
                <w:tab w:val="clear" w:pos="1134"/>
              </w:tabs>
              <w:jc w:val="left"/>
              <w:rPr>
                <w:rFonts w:ascii="Times New Roman" w:hAnsi="Times New Roman" w:cs="Times New Roman"/>
                <w:sz w:val="22"/>
                <w:szCs w:val="22"/>
                <w:lang w:val="tr-TR"/>
              </w:rPr>
            </w:pPr>
            <w:r>
              <w:rPr>
                <w:rFonts w:ascii="Times New Roman" w:hAnsi="Times New Roman" w:cs="Times New Roman"/>
                <w:sz w:val="22"/>
                <w:szCs w:val="22"/>
              </w:rPr>
              <w:t>Nakit akış tablosu</w:t>
            </w:r>
          </w:p>
        </w:tc>
      </w:tr>
    </w:tbl>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jc w:val="both"/>
        <w:sectPr>
          <w:headerReference w:type="default" r:id="rId60"/>
          <w:pgSz w:w="11907" w:h="16840" w:code="9"/>
          <w:pgMar w:top="680" w:right="964" w:bottom="567" w:left="1134" w:header="680" w:footer="680" w:gutter="0"/>
          <w:pgNumType w:start="3"/>
          <w:cols w:space="708"/>
          <w:docGrid w:linePitch="326"/>
        </w:sectPr>
      </w:pPr>
    </w:p>
    <w:p>
      <w:pPr>
        <w:jc w:val="center"/>
        <w:rPr>
          <w:b/>
          <w:bCs/>
          <w:sz w:val="22"/>
          <w:szCs w:val="22"/>
        </w:rPr>
      </w:pPr>
    </w:p>
    <w:p>
      <w:pPr>
        <w:jc w:val="center"/>
        <w:rPr>
          <w:b/>
          <w:bCs/>
          <w:sz w:val="22"/>
          <w:szCs w:val="22"/>
        </w:rPr>
      </w:pPr>
      <w:r>
        <w:rPr>
          <w:b/>
          <w:bCs/>
          <w:sz w:val="22"/>
          <w:szCs w:val="22"/>
        </w:rPr>
        <w:t>ÜÇÜNC</w:t>
      </w:r>
      <w:r>
        <w:rPr>
          <w:b/>
          <w:bCs/>
          <w:sz w:val="22"/>
          <w:szCs w:val="22"/>
        </w:rPr>
        <w:t>Ü BÖLÜ</w:t>
      </w:r>
      <w:r>
        <w:rPr>
          <w:b/>
          <w:bCs/>
          <w:sz w:val="22"/>
          <w:szCs w:val="22"/>
        </w:rPr>
        <w:t>M</w:t>
      </w:r>
    </w:p>
    <w:p>
      <w:pPr>
        <w:pStyle w:val="Heading4"/>
        <w:jc w:val="center"/>
        <w:rPr>
          <w:rFonts w:ascii="Times New Roman" w:hAnsi="Times New Roman"/>
          <w:sz w:val="22"/>
          <w:szCs w:val="22"/>
        </w:rPr>
      </w:pPr>
      <w:r>
        <w:rPr>
          <w:rFonts w:ascii="Times New Roman" w:hAnsi="Times New Roman"/>
          <w:sz w:val="22"/>
          <w:szCs w:val="22"/>
        </w:rPr>
        <w:t>MUHASEBE POLİTİKALARI</w:t>
      </w:r>
    </w:p>
    <w:p>
      <w:pPr>
        <w:tabs>
          <w:tab w:val="left" w:pos="720"/>
        </w:tabs>
        <w:jc w:val="both"/>
        <w:rPr>
          <w:b/>
          <w:bCs/>
          <w:i/>
          <w:iCs/>
          <w:sz w:val="22"/>
          <w:szCs w:val="22"/>
        </w:rPr>
      </w:pPr>
      <w:r>
        <w:rPr>
          <w:b/>
          <w:bCs/>
          <w:sz w:val="22"/>
          <w:szCs w:val="22"/>
        </w:rPr>
        <w:tab/>
      </w:r>
    </w:p>
    <w:p>
      <w:pPr>
        <w:pStyle w:val="BodyTextIndent"/>
        <w:numPr>
          <w:ilvl w:val="0"/>
          <w:numId w:val="12"/>
        </w:numPr>
        <w:tabs>
          <w:tab w:val="clear" w:pos="720"/>
          <w:tab w:val="num" w:pos="567"/>
        </w:tabs>
        <w:ind w:left="567" w:hanging="567"/>
        <w:rPr>
          <w:b/>
          <w:bCs/>
          <w:sz w:val="22"/>
          <w:szCs w:val="22"/>
        </w:rPr>
      </w:pPr>
      <w:r>
        <w:rPr>
          <w:b/>
          <w:bCs/>
          <w:sz w:val="22"/>
          <w:szCs w:val="22"/>
        </w:rPr>
        <w:t xml:space="preserve">Sunum esaslarına ilişkin açıklamalar: </w:t>
      </w:r>
    </w:p>
    <w:p>
      <w:pPr>
        <w:pStyle w:val="BodyTextIndent"/>
        <w:numPr>
          <w:ilvl w:val="1"/>
          <w:numId w:val="8"/>
        </w:numPr>
        <w:tabs>
          <w:tab w:val="clear" w:pos="1070"/>
          <w:tab w:val="num" w:pos="851"/>
        </w:tabs>
        <w:spacing w:before="160" w:line="228" w:lineRule="auto"/>
        <w:ind w:left="851" w:hanging="284"/>
        <w:rPr>
          <w:b/>
          <w:bCs/>
          <w:sz w:val="22"/>
          <w:szCs w:val="22"/>
        </w:rPr>
      </w:pPr>
      <w:r>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pPr>
        <w:pStyle w:val="BodyText"/>
        <w:tabs>
          <w:tab w:val="clear" w:pos="0"/>
          <w:tab w:val="left" w:pos="540"/>
        </w:tabs>
        <w:spacing w:before="160"/>
        <w:ind w:left="567"/>
        <w:rPr>
          <w:sz w:val="22"/>
          <w:szCs w:val="22"/>
        </w:rPr>
      </w:pPr>
      <w:r>
        <w:rPr>
          <w:sz w:val="22"/>
          <w:szCs w:val="22"/>
        </w:rPr>
        <w:t>Konsolide olmayan finansal tablolar, 5411 Sayılı Bankacılık Kanununa ilişkin olarak 1 Kasım 2006 tarih ve 26333 say</w:t>
      </w:r>
      <w:r>
        <w:rPr>
          <w:sz w:val="22"/>
          <w:szCs w:val="22"/>
        </w:rPr>
        <w:t>ılı Resmi Gazete’de yayımlanan yönetmelikler</w:t>
      </w:r>
      <w:r>
        <w:rPr>
          <w:sz w:val="22"/>
          <w:szCs w:val="22"/>
        </w:rPr>
        <w:t xml:space="preserve">den </w:t>
      </w:r>
      <w:r>
        <w:rPr>
          <w:sz w:val="22"/>
          <w:szCs w:val="22"/>
        </w:rPr>
        <w:t>“</w:t>
      </w:r>
      <w:r>
        <w:rPr>
          <w:sz w:val="22"/>
          <w:szCs w:val="22"/>
        </w:rPr>
        <w:t>Bankaların Muhasebe Uygulamalarına ve Belgelerin Saklanmasına İlişkin Usul ve Esaslar Hakkında Yönetmelik</w:t>
      </w:r>
      <w:r>
        <w:rPr>
          <w:sz w:val="22"/>
          <w:szCs w:val="22"/>
        </w:rPr>
        <w:t>”</w:t>
      </w:r>
      <w:r>
        <w:rPr>
          <w:sz w:val="22"/>
          <w:szCs w:val="22"/>
        </w:rPr>
        <w:t xml:space="preserve"> hükümleri çerçevesinde, Türkiye Muhasebe Standartları Kurulu (TMSK) tarafından yürürlüğe konulan Türkiye Muhasebe Standartları (TMS) ve Türkiye Finansal Raporlama Standartları (TFRS) ile bunlara ilişkin ek ve yorumlara (tümü “Türkiye Muhasebe Standartları” ya da TMS) uygun olarak hazırlanmıştır. Banka, muhasebe kayıtlarını Türk parası</w:t>
      </w:r>
      <w:r>
        <w:rPr>
          <w:sz w:val="22"/>
          <w:szCs w:val="22"/>
        </w:rPr>
        <w:t xml:space="preserve"> (“TP”) </w:t>
      </w:r>
      <w:r>
        <w:rPr>
          <w:sz w:val="22"/>
          <w:szCs w:val="22"/>
        </w:rPr>
        <w:t>olarak, Bankacılık Kanunu, Türk Ticaret Kanunu ve Türk Vergi Mevzuatı</w:t>
      </w:r>
      <w:r>
        <w:rPr>
          <w:sz w:val="22"/>
          <w:szCs w:val="22"/>
        </w:rPr>
        <w:t>’</w:t>
      </w:r>
      <w:r>
        <w:rPr>
          <w:sz w:val="22"/>
          <w:szCs w:val="22"/>
        </w:rPr>
        <w:t>na uygun olarak tutmaktadır.</w:t>
      </w:r>
    </w:p>
    <w:p>
      <w:pPr>
        <w:pStyle w:val="BodyTextIndent"/>
        <w:numPr>
          <w:ilvl w:val="1"/>
          <w:numId w:val="8"/>
        </w:numPr>
        <w:tabs>
          <w:tab w:val="clear" w:pos="1070"/>
          <w:tab w:val="num" w:pos="851"/>
        </w:tabs>
        <w:spacing w:before="160" w:line="228" w:lineRule="auto"/>
        <w:ind w:left="567" w:firstLine="0"/>
        <w:rPr>
          <w:b/>
          <w:bCs/>
          <w:sz w:val="22"/>
          <w:szCs w:val="22"/>
        </w:rPr>
      </w:pPr>
      <w:r>
        <w:rPr>
          <w:b/>
          <w:bCs/>
          <w:sz w:val="22"/>
          <w:szCs w:val="22"/>
        </w:rPr>
        <w:t>Finansal tabloların hazırlanmasında kullanılan değerleme esasları:</w:t>
      </w:r>
    </w:p>
    <w:p>
      <w:pPr>
        <w:tabs>
          <w:tab w:val="left" w:pos="567"/>
          <w:tab w:val="left" w:pos="720"/>
        </w:tabs>
        <w:ind w:left="567" w:right="-288"/>
        <w:jc w:val="both"/>
        <w:rPr>
          <w:sz w:val="22"/>
          <w:szCs w:val="22"/>
        </w:rPr>
      </w:pPr>
    </w:p>
    <w:p>
      <w:pPr>
        <w:tabs>
          <w:tab w:val="left" w:pos="567"/>
          <w:tab w:val="left" w:pos="851"/>
        </w:tabs>
        <w:ind w:left="567" w:right="28"/>
        <w:jc w:val="both"/>
        <w:rPr>
          <w:sz w:val="22"/>
          <w:szCs w:val="22"/>
        </w:rPr>
      </w:pPr>
      <w:r>
        <w:rPr>
          <w:sz w:val="22"/>
          <w:szCs w:val="22"/>
        </w:rPr>
        <w:t xml:space="preserve">Finansal tabloların hazırlanmasına ilişkin izlenen muhasebe politikaları ve kullanılan değerleme esasları Türkiye Muhasebe Standartları ve Bankacılık Düzenleme ve Denetleme Kurumu’nun ilgili yönetmelik, tebliğ ve kararlarında belirtildiği şekilde uygulanmıştır. </w:t>
      </w:r>
    </w:p>
    <w:p>
      <w:pPr>
        <w:pStyle w:val="BodyTextIndent"/>
        <w:tabs>
          <w:tab w:val="left" w:pos="567"/>
          <w:tab w:val="left" w:pos="851"/>
        </w:tabs>
        <w:spacing w:before="160" w:line="228" w:lineRule="auto"/>
        <w:ind w:left="567" w:firstLine="0"/>
        <w:rPr>
          <w:sz w:val="22"/>
          <w:szCs w:val="22"/>
        </w:rPr>
      </w:pPr>
      <w:r>
        <w:rPr>
          <w:b/>
          <w:bCs/>
          <w:sz w:val="22"/>
          <w:szCs w:val="22"/>
        </w:rPr>
        <w:t>c.</w:t>
      </w:r>
      <w:r>
        <w:rPr>
          <w:b/>
          <w:bCs/>
          <w:sz w:val="22"/>
          <w:szCs w:val="22"/>
        </w:rPr>
        <w:tab/>
      </w:r>
      <w:r>
        <w:rPr>
          <w:b/>
          <w:bCs/>
          <w:sz w:val="22"/>
          <w:szCs w:val="22"/>
        </w:rPr>
        <w:t>Finansal tabloların doğru olarak anlaşılması için izlenen muhasebe politikaları:</w:t>
      </w:r>
    </w:p>
    <w:p>
      <w:pPr>
        <w:pStyle w:val="BodyText"/>
        <w:tabs>
          <w:tab w:val="left" w:pos="540"/>
        </w:tabs>
        <w:spacing w:before="160"/>
        <w:ind w:left="567"/>
        <w:rPr>
          <w:sz w:val="22"/>
          <w:szCs w:val="22"/>
        </w:rPr>
      </w:pPr>
      <w:r>
        <w:rPr>
          <w:sz w:val="22"/>
          <w:szCs w:val="22"/>
        </w:rPr>
        <w:t>Finansal tablolar, gerçeğe uygun değerleri ile gösterilen finansal varlık ve yükümlülükler dışında, tarihi maliyet esası baz alınarak T</w:t>
      </w:r>
      <w:r>
        <w:rPr>
          <w:sz w:val="22"/>
          <w:szCs w:val="22"/>
        </w:rPr>
        <w:t xml:space="preserve">ürk </w:t>
      </w:r>
      <w:r>
        <w:rPr>
          <w:sz w:val="22"/>
          <w:szCs w:val="22"/>
        </w:rPr>
        <w:t>L</w:t>
      </w:r>
      <w:r>
        <w:rPr>
          <w:sz w:val="22"/>
          <w:szCs w:val="22"/>
        </w:rPr>
        <w:t>irası</w:t>
      </w:r>
      <w:r>
        <w:rPr>
          <w:sz w:val="22"/>
          <w:szCs w:val="22"/>
        </w:rPr>
        <w:t xml:space="preserve"> olarak hazırlanmıştır. </w:t>
      </w:r>
    </w:p>
    <w:p>
      <w:pPr>
        <w:tabs>
          <w:tab w:val="left" w:pos="567"/>
          <w:tab w:val="left" w:pos="851"/>
        </w:tabs>
        <w:ind w:right="28"/>
        <w:jc w:val="both"/>
        <w:rPr>
          <w:sz w:val="22"/>
          <w:szCs w:val="22"/>
        </w:rPr>
      </w:pPr>
    </w:p>
    <w:p>
      <w:pPr>
        <w:tabs>
          <w:tab w:val="left" w:pos="567"/>
          <w:tab w:val="left" w:pos="851"/>
        </w:tabs>
        <w:ind w:left="567" w:right="28"/>
        <w:jc w:val="both"/>
        <w:rPr>
          <w:sz w:val="22"/>
          <w:szCs w:val="22"/>
        </w:rPr>
      </w:pPr>
      <w:r>
        <w:rPr>
          <w:sz w:val="22"/>
          <w:szCs w:val="22"/>
        </w:rPr>
        <w:t xml:space="preserve">Bilanço ve bilanço dışı yükümlülükler kalemleri 31 Aralık </w:t>
      </w:r>
      <w:r>
        <w:rPr>
          <w:sz w:val="22"/>
          <w:szCs w:val="22"/>
        </w:rPr>
        <w:t>201</w:t>
      </w:r>
      <w:r>
        <w:rPr>
          <w:sz w:val="22"/>
          <w:szCs w:val="22"/>
        </w:rPr>
        <w:t>0, gelir tablosu, özkaynak değişim tablosu, özkaynaklarda muhasebeleştirilen gelir-gider kalemlerine ilişkin tablo ve nakit akış tablosu ise bir önceki yılın aynı dönemi ile karşılaştırılmalı olarak sunulmuştur.</w:t>
      </w:r>
      <w:r>
        <w:rPr>
          <w:sz w:val="22"/>
          <w:szCs w:val="22"/>
        </w:rPr>
        <w:t xml:space="preserve"> </w:t>
      </w:r>
      <w:r>
        <w:rPr>
          <w:sz w:val="22"/>
          <w:szCs w:val="22"/>
        </w:rPr>
        <w:t xml:space="preserve">Mali durum ve performans trendlerinin tespitine imkan vermek üzere, </w:t>
      </w:r>
      <w:r>
        <w:rPr>
          <w:sz w:val="22"/>
          <w:szCs w:val="22"/>
        </w:rPr>
        <w:t>Banka’nın</w:t>
      </w:r>
      <w:r>
        <w:rPr>
          <w:sz w:val="22"/>
          <w:szCs w:val="22"/>
        </w:rPr>
        <w:t xml:space="preserve"> konsolide </w:t>
      </w:r>
      <w:r>
        <w:rPr>
          <w:sz w:val="22"/>
          <w:szCs w:val="22"/>
        </w:rPr>
        <w:t xml:space="preserve">olmayan </w:t>
      </w:r>
      <w:r>
        <w:rPr>
          <w:sz w:val="22"/>
          <w:szCs w:val="22"/>
        </w:rPr>
        <w:t>finansal tabloları önceki dönemle karşılaştırmalı olarak hazırlanmaktadır. Cari dönem konsolide</w:t>
      </w:r>
      <w:r>
        <w:rPr>
          <w:sz w:val="22"/>
          <w:szCs w:val="22"/>
        </w:rPr>
        <w:t xml:space="preserve"> olmayan</w:t>
      </w:r>
      <w:r>
        <w:rPr>
          <w:sz w:val="22"/>
          <w:szCs w:val="22"/>
        </w:rPr>
        <w:t xml:space="preserve"> finansal tabloların sunumu ile uygunluk sağlanması açısından karşılaştırmalı bilgiler gerekli görüldüğünde yeniden sınıflandırılır ve önemli farklılıklar açıklanır.</w:t>
      </w:r>
    </w:p>
    <w:p>
      <w:pPr>
        <w:tabs>
          <w:tab w:val="left" w:pos="567"/>
          <w:tab w:val="left" w:pos="851"/>
        </w:tabs>
        <w:ind w:right="28"/>
        <w:jc w:val="both"/>
        <w:rPr>
          <w:sz w:val="22"/>
          <w:szCs w:val="22"/>
        </w:rPr>
      </w:pPr>
      <w:r>
        <w:rPr>
          <w:sz w:val="22"/>
          <w:szCs w:val="22"/>
        </w:rPr>
        <w:t xml:space="preserve"> </w:t>
      </w:r>
    </w:p>
    <w:p>
      <w:pPr>
        <w:tabs>
          <w:tab w:val="left" w:pos="567"/>
          <w:tab w:val="left" w:pos="851"/>
        </w:tabs>
        <w:ind w:left="567" w:right="28"/>
        <w:jc w:val="both"/>
        <w:rPr>
          <w:sz w:val="22"/>
          <w:szCs w:val="22"/>
        </w:rPr>
      </w:pPr>
      <w:r>
        <w:rPr>
          <w:sz w:val="22"/>
          <w:szCs w:val="22"/>
        </w:rPr>
        <w:t>Finansal tablolar ile bunlara ilişkin açıklama ve dipnotlarda yer alan tutarlar aksi belirtilmedikçe Bin</w:t>
      </w:r>
      <w:r>
        <w:rPr>
          <w:sz w:val="22"/>
          <w:szCs w:val="22"/>
        </w:rPr>
        <w:t xml:space="preserve"> </w:t>
      </w:r>
      <w:r>
        <w:rPr>
          <w:sz w:val="22"/>
          <w:szCs w:val="22"/>
        </w:rPr>
        <w:t>Türk Lirası olarak ifade edilmiştir.</w:t>
      </w:r>
    </w:p>
    <w:p>
      <w:pPr>
        <w:pStyle w:val="BodyText"/>
        <w:tabs>
          <w:tab w:val="clear" w:pos="0"/>
          <w:tab w:val="clear" w:pos="567"/>
          <w:tab w:val="clear" w:pos="720"/>
        </w:tabs>
      </w:pPr>
    </w:p>
    <w:p>
      <w:pPr>
        <w:numPr>
          <w:ilvl w:val="0"/>
          <w:numId w:val="12"/>
        </w:numPr>
        <w:tabs>
          <w:tab w:val="clear" w:pos="720"/>
          <w:tab w:val="num" w:pos="567"/>
        </w:tabs>
        <w:ind w:left="567" w:hanging="567"/>
        <w:jc w:val="both"/>
        <w:rPr>
          <w:b/>
          <w:bCs/>
          <w:sz w:val="22"/>
          <w:szCs w:val="22"/>
        </w:rPr>
      </w:pPr>
      <w:r>
        <w:rPr>
          <w:b/>
          <w:bCs/>
          <w:sz w:val="22"/>
          <w:szCs w:val="22"/>
        </w:rPr>
        <w:t>Finansal araçların kullanım stratejisi ve yabancı para cinsinden işlemlere ilişkin açıklamalar:</w:t>
      </w:r>
    </w:p>
    <w:p>
      <w:pPr>
        <w:jc w:val="both"/>
        <w:rPr>
          <w:b/>
          <w:bCs/>
          <w:i/>
          <w:iCs/>
          <w:sz w:val="22"/>
          <w:szCs w:val="22"/>
        </w:rPr>
      </w:pPr>
    </w:p>
    <w:p>
      <w:pPr>
        <w:tabs>
          <w:tab w:val="left" w:pos="567"/>
        </w:tabs>
        <w:ind w:left="567" w:right="28"/>
        <w:jc w:val="both"/>
        <w:rPr>
          <w:sz w:val="22"/>
          <w:szCs w:val="22"/>
        </w:rPr>
      </w:pPr>
      <w:r>
        <w:rPr>
          <w:sz w:val="22"/>
          <w:szCs w:val="22"/>
        </w:rPr>
        <w:t xml:space="preserve">Banka bilançosunun </w:t>
      </w:r>
      <w:r>
        <w:rPr>
          <w:sz w:val="22"/>
          <w:szCs w:val="22"/>
        </w:rPr>
        <w:t>pasif hesapları ağırlıklı olarak</w:t>
      </w:r>
      <w:r>
        <w:rPr>
          <w:sz w:val="22"/>
          <w:szCs w:val="22"/>
        </w:rPr>
        <w:t xml:space="preserve">, yurt içi ve yurt dışı piyasalardan temin edilen kaynaklardan oluşmaktadır. Yurt içinden sağlanan kaynakların büyük bölümü </w:t>
      </w:r>
      <w:r>
        <w:rPr>
          <w:sz w:val="22"/>
          <w:szCs w:val="22"/>
        </w:rPr>
        <w:t xml:space="preserve">T.C. </w:t>
      </w:r>
      <w:r>
        <w:rPr>
          <w:sz w:val="22"/>
          <w:szCs w:val="22"/>
        </w:rPr>
        <w:t xml:space="preserve">Hazine </w:t>
      </w:r>
      <w:r>
        <w:rPr>
          <w:sz w:val="22"/>
          <w:szCs w:val="22"/>
        </w:rPr>
        <w:t xml:space="preserve">Müsteşarlığı </w:t>
      </w:r>
      <w:r>
        <w:rPr>
          <w:sz w:val="22"/>
          <w:szCs w:val="22"/>
        </w:rPr>
        <w:t>aracılığı ile D</w:t>
      </w:r>
      <w:r>
        <w:rPr>
          <w:sz w:val="22"/>
          <w:szCs w:val="22"/>
        </w:rPr>
        <w:t>ünya Bankası ve Avrupa Konseyi K</w:t>
      </w:r>
      <w:r>
        <w:rPr>
          <w:sz w:val="22"/>
          <w:szCs w:val="22"/>
        </w:rPr>
        <w:t xml:space="preserve">alkınma Bankası gibi uluslararası kuruluşlardan sağlanan kaynaklar ve </w:t>
      </w:r>
      <w:r>
        <w:rPr>
          <w:sz w:val="22"/>
          <w:szCs w:val="22"/>
        </w:rPr>
        <w:t>bütçe kaynaklı fonlardan oluşmakta</w:t>
      </w:r>
      <w:r>
        <w:rPr>
          <w:sz w:val="22"/>
          <w:szCs w:val="22"/>
        </w:rPr>
        <w:t>dır. Ç</w:t>
      </w:r>
      <w:r>
        <w:rPr>
          <w:sz w:val="22"/>
          <w:szCs w:val="22"/>
        </w:rPr>
        <w:t>eşitli sektörlere plase edilmek üzere</w:t>
      </w:r>
      <w:r>
        <w:rPr>
          <w:sz w:val="22"/>
          <w:szCs w:val="22"/>
        </w:rPr>
        <w:t xml:space="preserve"> Hazine tarafından aktarılan </w:t>
      </w:r>
      <w:r>
        <w:rPr>
          <w:sz w:val="22"/>
          <w:szCs w:val="22"/>
        </w:rPr>
        <w:t>fonlar</w:t>
      </w:r>
      <w:r>
        <w:rPr>
          <w:sz w:val="22"/>
          <w:szCs w:val="22"/>
        </w:rPr>
        <w:t>da</w:t>
      </w:r>
      <w:r>
        <w:rPr>
          <w:sz w:val="22"/>
          <w:szCs w:val="22"/>
        </w:rPr>
        <w:t xml:space="preserve"> Banka aracılık görevini üstlenmektedir. Yurtdışından sağlanan kaynaklar ise Dünya Bankası yanında, Avrupa</w:t>
      </w:r>
      <w:r>
        <w:rPr>
          <w:sz w:val="22"/>
          <w:szCs w:val="22"/>
        </w:rPr>
        <w:t xml:space="preserve"> Yatırım ve Avrupa Konseyi Kalkınma</w:t>
      </w:r>
      <w:r>
        <w:rPr>
          <w:sz w:val="22"/>
          <w:szCs w:val="22"/>
        </w:rPr>
        <w:t xml:space="preserve"> Bankalarından, İslam Kalkınma Bankası’ndan ve Fransız Kalkınma Ajansı’ndan temin edilmiş orta ve uzun vadeli kredi niteliğindedir.</w:t>
      </w:r>
    </w:p>
    <w:p>
      <w:pPr>
        <w:tabs>
          <w:tab w:val="left" w:pos="567"/>
        </w:tabs>
        <w:ind w:left="567" w:right="28"/>
        <w:jc w:val="both"/>
        <w:rPr>
          <w:sz w:val="22"/>
          <w:szCs w:val="22"/>
        </w:rPr>
      </w:pPr>
    </w:p>
    <w:p>
      <w:pPr>
        <w:tabs>
          <w:tab w:val="left" w:pos="567"/>
        </w:tabs>
        <w:ind w:left="567" w:right="28"/>
        <w:jc w:val="both"/>
        <w:rPr>
          <w:sz w:val="22"/>
          <w:szCs w:val="22"/>
        </w:rPr>
      </w:pPr>
      <w:r>
        <w:rPr>
          <w:sz w:val="22"/>
          <w:szCs w:val="22"/>
        </w:rPr>
        <w:t>Temin edilen kaynakların kullandırılmasında aktif-pasif uyumu gözetilmek suretiyle, borçlanma koşullarına uygun kredilendirme yapısına özen gösterilerek; vade, kur ve likidite riskin</w:t>
      </w:r>
      <w:r>
        <w:rPr>
          <w:sz w:val="22"/>
          <w:szCs w:val="22"/>
        </w:rPr>
        <w:t>den korunmaya çalışılmaktadır.</w:t>
      </w:r>
    </w:p>
    <w:p>
      <w:pPr>
        <w:tabs>
          <w:tab w:val="left" w:pos="567"/>
        </w:tabs>
        <w:ind w:left="567" w:right="28"/>
        <w:jc w:val="both"/>
        <w:rPr>
          <w:sz w:val="22"/>
          <w:szCs w:val="22"/>
        </w:rPr>
      </w:pPr>
    </w:p>
    <w:p>
      <w:pPr>
        <w:tabs>
          <w:tab w:val="left" w:pos="567"/>
        </w:tabs>
        <w:ind w:left="567" w:right="28" w:hanging="567"/>
        <w:jc w:val="both"/>
        <w:rPr>
          <w:sz w:val="22"/>
          <w:szCs w:val="22"/>
        </w:rPr>
      </w:pPr>
      <w:r>
        <w:rPr>
          <w:sz w:val="22"/>
          <w:szCs w:val="22"/>
        </w:rPr>
        <w:br w:type="page"/>
      </w:r>
    </w:p>
    <w:p>
      <w:pPr>
        <w:tabs>
          <w:tab w:val="left" w:pos="1140"/>
        </w:tabs>
        <w:ind w:left="567" w:right="28" w:hanging="567"/>
        <w:jc w:val="both"/>
        <w:rPr>
          <w:b/>
          <w:bCs/>
          <w:sz w:val="22"/>
          <w:szCs w:val="22"/>
        </w:rPr>
      </w:pPr>
    </w:p>
    <w:p>
      <w:pPr>
        <w:tabs>
          <w:tab w:val="left" w:pos="567"/>
        </w:tabs>
        <w:ind w:left="567" w:right="28" w:hanging="567"/>
        <w:jc w:val="both"/>
        <w:rPr>
          <w:b/>
          <w:bCs/>
          <w:sz w:val="22"/>
          <w:szCs w:val="22"/>
        </w:rPr>
      </w:pPr>
      <w:r>
        <w:rPr>
          <w:b/>
          <w:bCs/>
          <w:sz w:val="22"/>
          <w:szCs w:val="22"/>
        </w:rPr>
        <w:t>II-</w:t>
      </w:r>
      <w:r>
        <w:rPr>
          <w:b/>
          <w:bCs/>
          <w:sz w:val="22"/>
          <w:szCs w:val="22"/>
        </w:rPr>
        <w:tab/>
      </w:r>
      <w:r>
        <w:rPr>
          <w:b/>
          <w:bCs/>
          <w:sz w:val="22"/>
          <w:szCs w:val="22"/>
        </w:rPr>
        <w:t>Finansal araçların kullanım stratejisi ve yabancı para cinsinden işlemlere ilişkin açıklamalar (devam ediyor):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Banka</w:t>
      </w:r>
      <w:r>
        <w:rPr>
          <w:sz w:val="22"/>
          <w:szCs w:val="22"/>
        </w:rPr>
        <w:t>’</w:t>
      </w:r>
      <w:r>
        <w:rPr>
          <w:sz w:val="22"/>
          <w:szCs w:val="22"/>
        </w:rPr>
        <w:t xml:space="preserve">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Ticari plasmanlar</w:t>
      </w:r>
      <w:r>
        <w:rPr>
          <w:sz w:val="22"/>
          <w:szCs w:val="22"/>
        </w:rPr>
        <w:t xml:space="preserve">; </w:t>
      </w:r>
      <w:r>
        <w:rPr>
          <w:sz w:val="22"/>
          <w:szCs w:val="22"/>
        </w:rPr>
        <w:t>B</w:t>
      </w:r>
      <w:r>
        <w:rPr>
          <w:sz w:val="22"/>
          <w:szCs w:val="22"/>
        </w:rPr>
        <w:t>anka</w:t>
      </w:r>
      <w:r>
        <w:rPr>
          <w:sz w:val="22"/>
          <w:szCs w:val="22"/>
        </w:rPr>
        <w:t>’</w:t>
      </w:r>
      <w:r>
        <w:rPr>
          <w:sz w:val="22"/>
          <w:szCs w:val="22"/>
        </w:rPr>
        <w:t xml:space="preserve">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Piyasalardaki kur, faiz ve fiyat hareketleri yakından izlenmekte; pozisyon alınırken yasal sınırlar yanında Banka</w:t>
      </w:r>
      <w:r>
        <w:rPr>
          <w:sz w:val="22"/>
          <w:szCs w:val="22"/>
        </w:rPr>
        <w:t>’</w:t>
      </w:r>
      <w:r>
        <w:rPr>
          <w:sz w:val="22"/>
          <w:szCs w:val="22"/>
        </w:rPr>
        <w:t>nın geçmiş dönemlerde</w:t>
      </w:r>
      <w:r>
        <w:rPr>
          <w:sz w:val="22"/>
          <w:szCs w:val="22"/>
        </w:rPr>
        <w:t xml:space="preserve"> elde ettiği birikim dikkate alınarak geliştirilen işlem ve kontrol limitleri esas alınmaktadır. Bu yolla limit aşımlarına sebebiyet verilmemesi de sağlanmaktadır.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 xml:space="preserve">Yabancı para işlemlerin yürütülmesinde ise, aşağıda belirtilen uygulamalar yapılmaktadır. </w:t>
      </w:r>
    </w:p>
    <w:p>
      <w:pPr>
        <w:tabs>
          <w:tab w:val="left" w:pos="567"/>
        </w:tabs>
        <w:ind w:left="567" w:right="28"/>
        <w:jc w:val="both"/>
        <w:rPr>
          <w:sz w:val="10"/>
          <w:szCs w:val="10"/>
        </w:rPr>
      </w:pPr>
    </w:p>
    <w:p>
      <w:pPr>
        <w:tabs>
          <w:tab w:val="left" w:pos="993"/>
        </w:tabs>
        <w:spacing w:after="120"/>
        <w:ind w:left="993" w:right="28" w:hanging="426"/>
        <w:jc w:val="both"/>
        <w:rPr>
          <w:sz w:val="22"/>
          <w:szCs w:val="22"/>
        </w:rPr>
      </w:pPr>
      <w:r>
        <w:rPr>
          <w:b/>
          <w:bCs/>
          <w:sz w:val="22"/>
          <w:szCs w:val="22"/>
        </w:rPr>
        <w:t>a.</w:t>
      </w:r>
      <w:r>
        <w:rPr>
          <w:b/>
          <w:bCs/>
          <w:sz w:val="22"/>
          <w:szCs w:val="22"/>
        </w:rPr>
        <w:tab/>
      </w:r>
      <w:r>
        <w:rPr>
          <w:sz w:val="22"/>
          <w:szCs w:val="22"/>
        </w:rPr>
        <w:t xml:space="preserve">Yabancı para aktif ve pasif parasal kalemler dönem sonunda geçerli olan Banka </w:t>
      </w:r>
      <w:r>
        <w:rPr>
          <w:sz w:val="22"/>
          <w:szCs w:val="22"/>
        </w:rPr>
        <w:t xml:space="preserve">döviz </w:t>
      </w:r>
      <w:r>
        <w:rPr>
          <w:sz w:val="22"/>
          <w:szCs w:val="22"/>
        </w:rPr>
        <w:t xml:space="preserve">alış </w:t>
      </w:r>
      <w:r>
        <w:rPr>
          <w:sz w:val="22"/>
          <w:szCs w:val="22"/>
        </w:rPr>
        <w:t>kurlarından T</w:t>
      </w:r>
      <w:r>
        <w:rPr>
          <w:sz w:val="22"/>
          <w:szCs w:val="22"/>
        </w:rPr>
        <w:t>ürk Lirası’na (TL) çevrilmiş ve oluşan kur farkları kambiyo karı veya zararı olarak kayıtlara yansıtılmıştır.</w:t>
      </w:r>
    </w:p>
    <w:p>
      <w:pPr>
        <w:tabs>
          <w:tab w:val="left" w:pos="993"/>
        </w:tabs>
        <w:spacing w:before="120" w:after="120"/>
        <w:ind w:left="993" w:right="28" w:hanging="426"/>
        <w:jc w:val="both"/>
        <w:rPr>
          <w:sz w:val="22"/>
          <w:szCs w:val="22"/>
        </w:rPr>
      </w:pPr>
      <w:r>
        <w:rPr>
          <w:b/>
          <w:bCs/>
          <w:sz w:val="22"/>
          <w:szCs w:val="22"/>
        </w:rPr>
        <w:t>b.</w:t>
      </w:r>
      <w:r>
        <w:rPr>
          <w:b/>
          <w:bCs/>
          <w:sz w:val="22"/>
          <w:szCs w:val="22"/>
        </w:rPr>
        <w:tab/>
      </w:r>
      <w:r>
        <w:rPr>
          <w:sz w:val="22"/>
          <w:szCs w:val="22"/>
        </w:rPr>
        <w:t>Bilanço tarihi itibarıyla</w:t>
      </w:r>
      <w:r>
        <w:rPr>
          <w:sz w:val="22"/>
          <w:szCs w:val="22"/>
        </w:rPr>
        <w:t xml:space="preserve"> aktifleştirilen kur farkı bulunmamaktadır.</w:t>
      </w:r>
    </w:p>
    <w:p>
      <w:pPr>
        <w:tabs>
          <w:tab w:val="left" w:pos="993"/>
        </w:tabs>
        <w:spacing w:before="120" w:after="120"/>
        <w:ind w:left="993" w:right="28" w:hanging="426"/>
        <w:jc w:val="both"/>
        <w:rPr>
          <w:sz w:val="22"/>
          <w:szCs w:val="22"/>
        </w:rPr>
      </w:pPr>
      <w:r>
        <w:rPr>
          <w:b/>
          <w:bCs/>
          <w:sz w:val="22"/>
          <w:szCs w:val="22"/>
        </w:rPr>
        <w:t>c.</w:t>
      </w:r>
      <w:r>
        <w:rPr>
          <w:b/>
          <w:bCs/>
          <w:sz w:val="22"/>
          <w:szCs w:val="22"/>
        </w:rPr>
        <w:tab/>
      </w:r>
      <w:r>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Aktif Pasif Yönetim Komitesi tarafından kur ve parite riskinden korunmaya yönelik kararlar alınmakta ve alınan kararlar titizlikle uygulanmaktadır. Parite riskinden korunmak amacıyla döviz pozisyonu tekil ve genel pozisyon dikkate alınarak yönetilmektedir. </w:t>
      </w:r>
    </w:p>
    <w:p>
      <w:pPr>
        <w:tabs>
          <w:tab w:val="left" w:pos="993"/>
        </w:tabs>
        <w:spacing w:before="120" w:after="120"/>
        <w:ind w:left="993" w:right="28" w:hanging="426"/>
        <w:jc w:val="both"/>
        <w:rPr>
          <w:sz w:val="22"/>
          <w:szCs w:val="22"/>
        </w:rPr>
      </w:pPr>
      <w:r>
        <w:rPr>
          <w:b/>
          <w:bCs/>
          <w:sz w:val="22"/>
          <w:szCs w:val="22"/>
        </w:rPr>
        <w:t>d.</w:t>
      </w:r>
      <w:r>
        <w:rPr>
          <w:b/>
          <w:bCs/>
          <w:sz w:val="22"/>
          <w:szCs w:val="22"/>
        </w:rPr>
        <w:tab/>
      </w:r>
      <w:r>
        <w:rPr>
          <w:sz w:val="22"/>
          <w:szCs w:val="22"/>
        </w:rPr>
        <w:t>Yabancı para işlemler, işlem tarihinde geçerli olan kurlardan hesaplanmakta olup, bu tür işlemlerden kaynaklanan k</w:t>
      </w:r>
      <w:r>
        <w:rPr>
          <w:sz w:val="22"/>
          <w:szCs w:val="22"/>
        </w:rPr>
        <w:t>a</w:t>
      </w:r>
      <w:r>
        <w:rPr>
          <w:sz w:val="22"/>
          <w:szCs w:val="22"/>
        </w:rPr>
        <w:t xml:space="preserve">r / zararlar ait oldukları dönemin gelir tablosuna yansıtılmaktadır. </w:t>
      </w:r>
    </w:p>
    <w:p>
      <w:pPr>
        <w:pStyle w:val="Heading1"/>
        <w:numPr>
          <w:ilvl w:val="0"/>
          <w:numId w:val="12"/>
        </w:numPr>
        <w:tabs>
          <w:tab w:val="num" w:pos="567"/>
        </w:tabs>
        <w:spacing w:before="0" w:line="240" w:lineRule="atLeast"/>
        <w:ind w:hanging="900"/>
        <w:jc w:val="both"/>
        <w:rPr>
          <w:rFonts w:ascii="Times New Roman" w:hAnsi="Times New Roman"/>
          <w:sz w:val="22"/>
          <w:szCs w:val="22"/>
        </w:rPr>
      </w:pPr>
      <w:r>
        <w:rPr>
          <w:rFonts w:ascii="Times New Roman" w:hAnsi="Times New Roman"/>
          <w:sz w:val="22"/>
          <w:szCs w:val="22"/>
        </w:rPr>
        <w:t>Vadeli işlem ve opsiyon sözleşmeleri ile türev ürünlere ilişkin açıklamalar: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w:t>
      </w:r>
      <w:r>
        <w:rPr>
          <w:sz w:val="22"/>
          <w:szCs w:val="22"/>
        </w:rPr>
        <w:t>nka’nın türev işlemleri</w:t>
      </w:r>
      <w:r>
        <w:rPr>
          <w:sz w:val="22"/>
          <w:szCs w:val="22"/>
        </w:rPr>
        <w:t>, ağırlıklı olarak yab</w:t>
      </w:r>
      <w:r>
        <w:rPr>
          <w:sz w:val="22"/>
          <w:szCs w:val="22"/>
        </w:rPr>
        <w:t>ancı</w:t>
      </w:r>
      <w:r>
        <w:rPr>
          <w:sz w:val="22"/>
          <w:szCs w:val="22"/>
        </w:rPr>
        <w:t xml:space="preserve"> para </w:t>
      </w:r>
      <w:r>
        <w:rPr>
          <w:sz w:val="22"/>
          <w:szCs w:val="22"/>
        </w:rPr>
        <w:t>swapları ile vadeli döviz alım-satım sözleşmelerinden oluşmaktadır.</w:t>
      </w:r>
      <w:r>
        <w:rPr>
          <w:sz w:val="22"/>
          <w:szCs w:val="22"/>
        </w:rPr>
        <w:t xml:space="preserve"> </w:t>
      </w:r>
      <w:r>
        <w:rPr>
          <w:sz w:val="22"/>
          <w:szCs w:val="22"/>
        </w:rPr>
        <w:t xml:space="preserve">Banka’nın ana sözleşmesinden ayrıştırılmak suretiyle oluşturulan türev ürünleri bulunmamaktadır. </w:t>
      </w:r>
      <w:r>
        <w:rPr>
          <w:sz w:val="22"/>
          <w:szCs w:val="22"/>
        </w:rPr>
        <w:t>Türev finansal araçlar, sözleşme tarihindeki gerçeğe uygun değerleri ile kayıt altına alınmakta</w:t>
      </w:r>
      <w:r>
        <w:rPr>
          <w:sz w:val="22"/>
          <w:szCs w:val="22"/>
        </w:rPr>
        <w:t>, ayrıca bu işlemlerden doğan alacak ve borçlar nazım hesaplarda izlenmekte</w:t>
      </w:r>
      <w:r>
        <w:rPr>
          <w:sz w:val="22"/>
          <w:szCs w:val="22"/>
        </w:rPr>
        <w:t xml:space="preserve"> ve sonraki raporlama dönemlerinde gerçeğe uygun değerleri ile yeniden </w:t>
      </w:r>
      <w:r>
        <w:rPr>
          <w:sz w:val="22"/>
          <w:szCs w:val="22"/>
        </w:rPr>
        <w:t>değerlenmektedir. Değerleme farkının ne</w:t>
      </w:r>
      <w:r>
        <w:rPr>
          <w:sz w:val="22"/>
          <w:szCs w:val="22"/>
        </w:rPr>
        <w:t>gatif</w:t>
      </w:r>
      <w:r>
        <w:rPr>
          <w:sz w:val="22"/>
          <w:szCs w:val="22"/>
        </w:rPr>
        <w:t xml:space="preserve"> ya da pozitif olmasına göre söz konusu farklar </w:t>
      </w:r>
      <w:r>
        <w:rPr>
          <w:sz w:val="22"/>
          <w:szCs w:val="22"/>
        </w:rPr>
        <w:t xml:space="preserve">bilançoda </w:t>
      </w:r>
      <w:r>
        <w:rPr>
          <w:sz w:val="22"/>
          <w:szCs w:val="22"/>
        </w:rPr>
        <w:t xml:space="preserve">ilgili hesaplarda gösterilmektedir. </w:t>
      </w:r>
    </w:p>
    <w:p>
      <w:pPr>
        <w:tabs>
          <w:tab w:val="left" w:pos="567"/>
        </w:tabs>
        <w:ind w:right="28"/>
        <w:jc w:val="both"/>
        <w:rPr>
          <w:sz w:val="14"/>
          <w:szCs w:val="14"/>
        </w:rPr>
      </w:pPr>
    </w:p>
    <w:p>
      <w:pPr>
        <w:numPr>
          <w:ilvl w:val="0"/>
          <w:numId w:val="12"/>
        </w:numPr>
        <w:tabs>
          <w:tab w:val="num" w:pos="567"/>
        </w:tabs>
        <w:ind w:hanging="900"/>
        <w:jc w:val="both"/>
        <w:rPr>
          <w:b/>
          <w:bCs/>
          <w:sz w:val="22"/>
          <w:szCs w:val="22"/>
        </w:rPr>
      </w:pPr>
      <w:r>
        <w:rPr>
          <w:b/>
          <w:bCs/>
          <w:sz w:val="22"/>
          <w:szCs w:val="22"/>
        </w:rPr>
        <w:t>Faiz gelir ve giderine ilişkin açıklamalar:</w:t>
      </w:r>
    </w:p>
    <w:p>
      <w:pPr>
        <w:jc w:val="both"/>
        <w:rPr>
          <w:b/>
          <w:bCs/>
          <w:sz w:val="14"/>
          <w:szCs w:val="14"/>
        </w:rPr>
      </w:pPr>
    </w:p>
    <w:p>
      <w:pPr>
        <w:tabs>
          <w:tab w:val="left" w:pos="567"/>
        </w:tabs>
        <w:ind w:left="567" w:right="28"/>
        <w:jc w:val="both"/>
        <w:rPr>
          <w:sz w:val="22"/>
          <w:szCs w:val="22"/>
        </w:rPr>
      </w:pPr>
      <w:r>
        <w:rPr>
          <w:sz w:val="22"/>
          <w:szCs w:val="22"/>
        </w:rPr>
        <w:t>Faiz</w:t>
      </w:r>
      <w:r>
        <w:rPr>
          <w:sz w:val="22"/>
          <w:szCs w:val="22"/>
        </w:rPr>
        <w:t xml:space="preserve"> gelirleri ve giderleri</w:t>
      </w:r>
      <w:r>
        <w:rPr>
          <w:sz w:val="22"/>
          <w:szCs w:val="22"/>
        </w:rPr>
        <w:t>, “Finansal Araçlar: Muhasebeleştirme ve Ölçmeye İlişkin Türkiye Muhasebe Standardı” (“TMS 39”</w:t>
      </w:r>
      <w:r>
        <w:rPr>
          <w:sz w:val="22"/>
          <w:szCs w:val="22"/>
        </w:rPr>
        <w:t xml:space="preserve">) </w:t>
      </w:r>
      <w:r>
        <w:rPr>
          <w:sz w:val="22"/>
          <w:szCs w:val="22"/>
        </w:rPr>
        <w:t>çerçevesinde</w:t>
      </w:r>
      <w:r>
        <w:rPr>
          <w:sz w:val="22"/>
          <w:szCs w:val="22"/>
        </w:rPr>
        <w:t xml:space="preserve"> belirlenen etkin faiz yöntem</w:t>
      </w:r>
      <w:r>
        <w:rPr>
          <w:sz w:val="22"/>
          <w:szCs w:val="22"/>
        </w:rPr>
        <w:t>i</w:t>
      </w:r>
      <w:r>
        <w:rPr>
          <w:sz w:val="22"/>
          <w:szCs w:val="22"/>
        </w:rPr>
        <w:t xml:space="preserve"> (finansal varlığın ya da yükümlülüğün gelecekteki nakit akımlarının bugünkü net değerine eşitleyen oran) </w:t>
      </w:r>
      <w:r>
        <w:rPr>
          <w:sz w:val="22"/>
          <w:szCs w:val="22"/>
        </w:rPr>
        <w:t>ile</w:t>
      </w:r>
      <w:r>
        <w:rPr>
          <w:sz w:val="22"/>
          <w:szCs w:val="22"/>
        </w:rPr>
        <w:t xml:space="preserve"> tahakkuk esasına göre</w:t>
      </w:r>
      <w:r>
        <w:rPr>
          <w:sz w:val="22"/>
          <w:szCs w:val="22"/>
        </w:rPr>
        <w:t xml:space="preserve"> </w:t>
      </w:r>
      <w:r>
        <w:rPr>
          <w:sz w:val="22"/>
          <w:szCs w:val="22"/>
        </w:rPr>
        <w:t xml:space="preserve">muhasebeleştirilir.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Faiz içeren bir menkul kıymetin e</w:t>
      </w:r>
      <w:r>
        <w:rPr>
          <w:sz w:val="22"/>
          <w:szCs w:val="22"/>
        </w:rPr>
        <w:t>diniminden önce ödenmemiş faiz</w:t>
      </w:r>
      <w:r>
        <w:rPr>
          <w:sz w:val="22"/>
          <w:szCs w:val="22"/>
        </w:rPr>
        <w:t xml:space="preserve"> tahakkuku</w:t>
      </w:r>
      <w:r>
        <w:rPr>
          <w:sz w:val="22"/>
          <w:szCs w:val="22"/>
        </w:rPr>
        <w:t>nun olması</w:t>
      </w:r>
      <w:r>
        <w:rPr>
          <w:sz w:val="22"/>
          <w:szCs w:val="22"/>
        </w:rPr>
        <w:t xml:space="preserve"> durumunda; sonradan tahsil edilen faiz, edinim öncesi ve edinim sonrası dönemlere ayrılır ve yalnızca </w:t>
      </w:r>
      <w:r>
        <w:rPr>
          <w:sz w:val="22"/>
          <w:szCs w:val="22"/>
        </w:rPr>
        <w:t>elde tutulması esnasında kazanılan</w:t>
      </w:r>
      <w:r>
        <w:rPr>
          <w:sz w:val="22"/>
          <w:szCs w:val="22"/>
        </w:rPr>
        <w:t xml:space="preserve"> faiz</w:t>
      </w:r>
      <w:r>
        <w:rPr>
          <w:sz w:val="22"/>
          <w:szCs w:val="22"/>
        </w:rPr>
        <w:t>ler kar/zarar tablosunda faiz gelirleri içerisinde gösterilir.</w:t>
      </w:r>
    </w:p>
    <w:p>
      <w:pPr>
        <w:tabs>
          <w:tab w:val="left" w:pos="567"/>
        </w:tabs>
        <w:ind w:left="567" w:right="28"/>
        <w:jc w:val="both"/>
        <w:rPr>
          <w:sz w:val="10"/>
          <w:szCs w:val="10"/>
        </w:rPr>
      </w:pPr>
      <w:r>
        <w:rPr>
          <w:sz w:val="10"/>
          <w:szCs w:val="10"/>
        </w:rPr>
        <w:t xml:space="preserve"> </w:t>
      </w:r>
    </w:p>
    <w:p>
      <w:pPr>
        <w:tabs>
          <w:tab w:val="left" w:pos="567"/>
        </w:tabs>
        <w:ind w:left="567" w:right="28"/>
        <w:jc w:val="both"/>
        <w:rPr>
          <w:sz w:val="22"/>
          <w:szCs w:val="22"/>
        </w:rPr>
      </w:pPr>
      <w:r>
        <w:rPr>
          <w:sz w:val="22"/>
          <w:szCs w:val="22"/>
        </w:rPr>
        <w:t xml:space="preserve">1 Kasım 2006 tarih ve 26333 sayılı Resmi Gazete’de yayımlanarak yürürlüğe giren </w:t>
      </w:r>
      <w:r>
        <w:rPr>
          <w:bCs/>
          <w:sz w:val="22"/>
          <w:szCs w:val="22"/>
        </w:rPr>
        <w:t>“Bankalarca</w:t>
      </w:r>
      <w:r>
        <w:rPr>
          <w:sz w:val="22"/>
          <w:szCs w:val="22"/>
        </w:rPr>
        <w:t xml:space="preserve"> </w:t>
      </w:r>
      <w:r>
        <w:rPr>
          <w:bCs/>
          <w:sz w:val="22"/>
          <w:szCs w:val="22"/>
        </w:rPr>
        <w:t>Kredilerin ve Diğer Alacakların Niteliklerinin Belirlenmesi ve Bunlar İçin Ayrılacak Karşılıklara İlişkin Usul ve Esaslar Hakkında Yönetmelik” gereğince</w:t>
      </w:r>
      <w:r>
        <w:rPr>
          <w:sz w:val="22"/>
          <w:szCs w:val="22"/>
        </w:rPr>
        <w:t xml:space="preserve"> donuk alacak haline gelmiş kredilerin ve diğer alacakların </w:t>
      </w:r>
      <w:r>
        <w:rPr>
          <w:sz w:val="22"/>
          <w:szCs w:val="22"/>
        </w:rPr>
        <w:t xml:space="preserve">tahsil edilmemiş </w:t>
      </w:r>
      <w:r>
        <w:rPr>
          <w:sz w:val="22"/>
          <w:szCs w:val="22"/>
        </w:rPr>
        <w:t xml:space="preserve">faiz tahakkuk ve reeskontları iptal edilmekte ve söz konusu tutarlar tahsil edilmedikçe gelir yazılmamaktadır. </w:t>
      </w:r>
    </w:p>
    <w:p>
      <w:pPr>
        <w:pStyle w:val="BodyText"/>
        <w:tabs>
          <w:tab w:val="clear" w:pos="0"/>
          <w:tab w:val="clear" w:pos="567"/>
          <w:tab w:val="clear" w:pos="720"/>
        </w:tabs>
        <w:rPr>
          <w:b/>
          <w:bCs/>
        </w:rPr>
      </w:pPr>
      <w:r>
        <w:rPr>
          <w:b/>
          <w:bCs/>
        </w:rPr>
        <w:br w:type="page"/>
      </w:r>
    </w:p>
    <w:p>
      <w:pPr>
        <w:pStyle w:val="BodyText"/>
        <w:tabs>
          <w:tab w:val="clear" w:pos="0"/>
          <w:tab w:val="clear" w:pos="720"/>
        </w:tabs>
        <w:rPr>
          <w:b/>
          <w:bCs/>
          <w:sz w:val="22"/>
          <w:szCs w:val="22"/>
        </w:rPr>
      </w:pPr>
    </w:p>
    <w:p>
      <w:pPr>
        <w:pStyle w:val="BodyText"/>
        <w:tabs>
          <w:tab w:val="clear" w:pos="0"/>
          <w:tab w:val="clear" w:pos="720"/>
        </w:tabs>
        <w:rPr>
          <w:b/>
          <w:bCs/>
          <w:sz w:val="22"/>
          <w:szCs w:val="22"/>
        </w:rPr>
      </w:pPr>
      <w:r>
        <w:rPr>
          <w:b/>
          <w:bCs/>
          <w:sz w:val="22"/>
          <w:szCs w:val="22"/>
        </w:rPr>
        <w:t>V-</w:t>
      </w:r>
      <w:r>
        <w:rPr>
          <w:b/>
          <w:bCs/>
          <w:sz w:val="22"/>
          <w:szCs w:val="22"/>
        </w:rPr>
        <w:tab/>
      </w:r>
      <w:r>
        <w:rPr>
          <w:b/>
          <w:bCs/>
          <w:sz w:val="22"/>
          <w:szCs w:val="22"/>
        </w:rPr>
        <w:t>Ücret ve komisyon gelir ve giderlerine ilişkin açıklamalar:</w:t>
      </w:r>
    </w:p>
    <w:p>
      <w:pPr>
        <w:jc w:val="both"/>
        <w:rPr>
          <w:sz w:val="22"/>
          <w:szCs w:val="22"/>
          <w:lang w:eastAsia="en-US"/>
        </w:rPr>
      </w:pPr>
    </w:p>
    <w:p>
      <w:pPr>
        <w:tabs>
          <w:tab w:val="left" w:pos="567"/>
        </w:tabs>
        <w:ind w:left="567" w:right="28"/>
        <w:jc w:val="both"/>
        <w:rPr>
          <w:sz w:val="22"/>
          <w:szCs w:val="22"/>
        </w:rPr>
      </w:pPr>
      <w:r>
        <w:rPr>
          <w:sz w:val="22"/>
          <w:szCs w:val="22"/>
        </w:rPr>
        <w:t>Nakdi kredilerden alınan ücret ve komisyonların kredinin faiz oranı ile ilişkilendirilemeyen kısımları ve bankacılık hizmet gelirleri 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gayrinakdi kredilerden alınan komisyon gelirleri dahil, tahakkuk esasına göre kayıtlara intikal ettirilmektedir.</w:t>
      </w:r>
    </w:p>
    <w:p>
      <w:pPr>
        <w:jc w:val="both"/>
        <w:rPr>
          <w:b/>
          <w:bCs/>
          <w:sz w:val="22"/>
          <w:szCs w:val="22"/>
        </w:rPr>
      </w:pPr>
    </w:p>
    <w:p>
      <w:pPr>
        <w:tabs>
          <w:tab w:val="left" w:pos="567"/>
        </w:tabs>
        <w:jc w:val="both"/>
        <w:rPr>
          <w:b/>
          <w:bCs/>
          <w:sz w:val="22"/>
          <w:szCs w:val="22"/>
        </w:rPr>
      </w:pPr>
      <w:r>
        <w:rPr>
          <w:b/>
          <w:bCs/>
          <w:sz w:val="22"/>
          <w:szCs w:val="22"/>
        </w:rPr>
        <w:t>VI-</w:t>
      </w:r>
      <w:r>
        <w:rPr>
          <w:b/>
          <w:bCs/>
          <w:sz w:val="22"/>
          <w:szCs w:val="22"/>
        </w:rPr>
        <w:tab/>
      </w:r>
      <w:r>
        <w:rPr>
          <w:b/>
          <w:bCs/>
          <w:sz w:val="22"/>
          <w:szCs w:val="22"/>
        </w:rPr>
        <w:t>Finansal varlıklara ilişkin açıklamalar:</w:t>
      </w:r>
    </w:p>
    <w:p>
      <w:pPr>
        <w:rPr>
          <w:sz w:val="12"/>
          <w:szCs w:val="12"/>
        </w:rPr>
      </w:pPr>
    </w:p>
    <w:p>
      <w:pPr>
        <w:ind w:left="567"/>
        <w:jc w:val="both"/>
        <w:rPr>
          <w:sz w:val="22"/>
          <w:szCs w:val="22"/>
        </w:rPr>
      </w:pPr>
      <w:r>
        <w:rPr>
          <w:sz w:val="22"/>
          <w:szCs w:val="22"/>
        </w:rPr>
        <w:t>Finansal varlıklar, temelde Banka’nın ticari faaliyet ve operasyonlarını meydana getirmektedir. Bu araçlar finansal tablolardaki likiditeyi, kredi ve faiz riskini ortaya çıkarma, etkileme ve azaltabilme özelliğine sahiptir.</w:t>
      </w:r>
    </w:p>
    <w:p>
      <w:pPr>
        <w:ind w:left="567"/>
        <w:jc w:val="both"/>
        <w:rPr>
          <w:sz w:val="22"/>
          <w:szCs w:val="22"/>
        </w:rPr>
      </w:pPr>
    </w:p>
    <w:p>
      <w:pPr>
        <w:ind w:left="567"/>
        <w:jc w:val="both"/>
        <w:rPr>
          <w:sz w:val="22"/>
          <w:szCs w:val="22"/>
        </w:rPr>
      </w:pPr>
      <w:r>
        <w:rPr>
          <w:sz w:val="22"/>
          <w:szCs w:val="22"/>
        </w:rPr>
        <w:t>Banka finansal varlıklarını “Gerçeğe Uygun Değer Farkı K</w:t>
      </w:r>
      <w:r>
        <w:rPr>
          <w:sz w:val="22"/>
          <w:szCs w:val="22"/>
        </w:rPr>
        <w:t>a</w:t>
      </w:r>
      <w:r>
        <w:rPr>
          <w:sz w:val="22"/>
          <w:szCs w:val="22"/>
        </w:rPr>
        <w:t>r/Zarara Yansıtılan Finansal Varlıklar”, “Satılmaya Hazır Finansal Varlıklar”, “Krediler</w:t>
      </w:r>
      <w:r>
        <w:rPr>
          <w:sz w:val="22"/>
          <w:szCs w:val="22"/>
        </w:rPr>
        <w:t xml:space="preserve"> ve Alacaklar</w:t>
      </w:r>
      <w:r>
        <w:rPr>
          <w:sz w:val="22"/>
          <w:szCs w:val="22"/>
        </w:rPr>
        <w:t>” veya “Vadeye Kadar E</w:t>
      </w:r>
      <w:r>
        <w:rPr>
          <w:sz w:val="22"/>
          <w:szCs w:val="22"/>
        </w:rPr>
        <w:t>lde Tutulacak Yatırımlar</w:t>
      </w:r>
      <w:r>
        <w:rPr>
          <w:sz w:val="22"/>
          <w:szCs w:val="22"/>
        </w:rPr>
        <w:t>” olarak sınıflandırmakta</w:t>
      </w:r>
      <w:r>
        <w:rPr>
          <w:sz w:val="22"/>
          <w:szCs w:val="22"/>
        </w:rPr>
        <w:t>dır</w:t>
      </w:r>
      <w:r>
        <w:rPr>
          <w:sz w:val="22"/>
          <w:szCs w:val="22"/>
        </w:rPr>
        <w:t xml:space="preserve">. Söz konusu finansal varlıkların alım ve satım işlemleri “teslim tarihine” göre </w:t>
      </w:r>
      <w:r>
        <w:rPr>
          <w:sz w:val="22"/>
          <w:szCs w:val="22"/>
        </w:rPr>
        <w:t>muhasebeleştirilmektedir.</w:t>
      </w:r>
      <w:r>
        <w:rPr>
          <w:sz w:val="22"/>
          <w:szCs w:val="22"/>
        </w:rPr>
        <w:t xml:space="preserve"> Finansal varlıkla</w:t>
      </w:r>
      <w:r>
        <w:rPr>
          <w:sz w:val="22"/>
          <w:szCs w:val="22"/>
        </w:rPr>
        <w:t>rın sınıflandırılma</w:t>
      </w:r>
      <w:r>
        <w:rPr>
          <w:sz w:val="22"/>
          <w:szCs w:val="22"/>
        </w:rPr>
        <w:t xml:space="preserve"> şekli </w:t>
      </w:r>
      <w:r>
        <w:rPr>
          <w:sz w:val="22"/>
          <w:szCs w:val="22"/>
        </w:rPr>
        <w:t>varlıkların Banka yönetimi tarafından satın</w:t>
      </w:r>
      <w:r>
        <w:rPr>
          <w:sz w:val="22"/>
          <w:szCs w:val="22"/>
        </w:rPr>
        <w:t xml:space="preserve"> </w:t>
      </w:r>
      <w:r>
        <w:rPr>
          <w:sz w:val="22"/>
          <w:szCs w:val="22"/>
        </w:rPr>
        <w:t>alma amaçları dikkate alınarak, elde edildikleri tarihlerde kararlaştırılmaktadır.</w:t>
      </w:r>
    </w:p>
    <w:p>
      <w:pPr>
        <w:tabs>
          <w:tab w:val="left" w:pos="2174"/>
        </w:tabs>
        <w:ind w:left="567"/>
        <w:jc w:val="both"/>
        <w:rPr>
          <w:sz w:val="22"/>
          <w:szCs w:val="22"/>
        </w:rPr>
      </w:pPr>
      <w:r>
        <w:rPr>
          <w:sz w:val="22"/>
          <w:szCs w:val="22"/>
        </w:rPr>
        <w:tab/>
      </w:r>
    </w:p>
    <w:p>
      <w:pPr>
        <w:ind w:left="567"/>
        <w:jc w:val="both"/>
        <w:rPr>
          <w:i/>
          <w:sz w:val="22"/>
          <w:szCs w:val="22"/>
        </w:rPr>
      </w:pPr>
      <w:r>
        <w:rPr>
          <w:bCs/>
          <w:i/>
          <w:sz w:val="22"/>
          <w:szCs w:val="22"/>
        </w:rPr>
        <w:t>Gerçeğe Uygun Değer Farkı K</w:t>
      </w:r>
      <w:r>
        <w:rPr>
          <w:bCs/>
          <w:i/>
          <w:sz w:val="22"/>
          <w:szCs w:val="22"/>
        </w:rPr>
        <w:t>a</w:t>
      </w:r>
      <w:r>
        <w:rPr>
          <w:bCs/>
          <w:i/>
          <w:sz w:val="22"/>
          <w:szCs w:val="22"/>
        </w:rPr>
        <w:t xml:space="preserve">r/Zarara Yansıtılan </w:t>
      </w:r>
      <w:r>
        <w:rPr>
          <w:bCs/>
          <w:i/>
          <w:sz w:val="22"/>
          <w:szCs w:val="22"/>
        </w:rPr>
        <w:t>Finansal Varlıklar</w:t>
      </w:r>
      <w:r>
        <w:rPr>
          <w:i/>
          <w:sz w:val="22"/>
          <w:szCs w:val="22"/>
        </w:rPr>
        <w:t xml:space="preserve">: </w:t>
      </w:r>
    </w:p>
    <w:p>
      <w:pPr>
        <w:ind w:left="567"/>
        <w:jc w:val="both"/>
        <w:rPr>
          <w:bCs/>
          <w:sz w:val="22"/>
          <w:szCs w:val="22"/>
        </w:rPr>
      </w:pPr>
    </w:p>
    <w:p>
      <w:pPr>
        <w:ind w:left="567"/>
        <w:jc w:val="both"/>
        <w:rPr>
          <w:sz w:val="22"/>
          <w:szCs w:val="22"/>
        </w:rPr>
      </w:pPr>
      <w:r>
        <w:rPr>
          <w:bCs/>
          <w:sz w:val="22"/>
          <w:szCs w:val="22"/>
        </w:rPr>
        <w:t xml:space="preserve">Alım satım amaçlı </w:t>
      </w:r>
      <w:r>
        <w:rPr>
          <w:bCs/>
          <w:sz w:val="22"/>
          <w:szCs w:val="22"/>
        </w:rPr>
        <w:t>finansal varlıklar</w:t>
      </w:r>
      <w:r>
        <w:rPr>
          <w:bCs/>
          <w:sz w:val="22"/>
          <w:szCs w:val="22"/>
        </w:rPr>
        <w:t>;</w:t>
      </w:r>
      <w:r>
        <w:rPr>
          <w:b/>
          <w:bCs/>
          <w:sz w:val="22"/>
          <w:szCs w:val="22"/>
        </w:rPr>
        <w:t xml:space="preserve"> </w:t>
      </w:r>
      <w:r>
        <w:rPr>
          <w:sz w:val="22"/>
          <w:szCs w:val="22"/>
        </w:rPr>
        <w:t>esas itibarıyla yakın bir tarihte satılmak ya da geri alınmak amacıyla edinilmiş kısa vadede k</w:t>
      </w:r>
      <w:r>
        <w:rPr>
          <w:sz w:val="22"/>
          <w:szCs w:val="22"/>
        </w:rPr>
        <w:t>a</w:t>
      </w:r>
      <w:r>
        <w:rPr>
          <w:sz w:val="22"/>
          <w:szCs w:val="22"/>
        </w:rPr>
        <w:t>r amacı güdülen menkul değerler</w:t>
      </w:r>
      <w:r>
        <w:rPr>
          <w:sz w:val="22"/>
          <w:szCs w:val="22"/>
        </w:rPr>
        <w:t>dir.</w:t>
      </w:r>
      <w:r>
        <w:rPr>
          <w:sz w:val="22"/>
          <w:szCs w:val="22"/>
        </w:rPr>
        <w:t xml:space="preserve"> </w:t>
      </w:r>
      <w:r>
        <w:rPr>
          <w:bCs/>
          <w:sz w:val="22"/>
          <w:szCs w:val="22"/>
        </w:rPr>
        <w:t>“</w:t>
      </w:r>
      <w:r>
        <w:rPr>
          <w:bCs/>
          <w:sz w:val="22"/>
          <w:szCs w:val="22"/>
        </w:rPr>
        <w:t>G</w:t>
      </w:r>
      <w:r>
        <w:rPr>
          <w:bCs/>
          <w:sz w:val="22"/>
          <w:szCs w:val="22"/>
        </w:rPr>
        <w:t>erçeğe uygun değer farkı k</w:t>
      </w:r>
      <w:r>
        <w:rPr>
          <w:bCs/>
          <w:sz w:val="22"/>
          <w:szCs w:val="22"/>
        </w:rPr>
        <w:t>a</w:t>
      </w:r>
      <w:r>
        <w:rPr>
          <w:bCs/>
          <w:sz w:val="22"/>
          <w:szCs w:val="22"/>
        </w:rPr>
        <w:t xml:space="preserve">r/zarara yansıtılan </w:t>
      </w:r>
      <w:r>
        <w:rPr>
          <w:bCs/>
          <w:sz w:val="22"/>
          <w:szCs w:val="22"/>
        </w:rPr>
        <w:t>finansal varlıklar</w:t>
      </w:r>
      <w:r>
        <w:rPr>
          <w:sz w:val="22"/>
          <w:szCs w:val="22"/>
        </w:rPr>
        <w:t>”</w:t>
      </w:r>
      <w:r>
        <w:rPr>
          <w:sz w:val="22"/>
          <w:szCs w:val="22"/>
        </w:rPr>
        <w:t xml:space="preserve"> alım satım amaçlı olarak edinilmeyen, ancak ilk muhasebeleştirme sırasında gerçeğe uygun değer farkı kar/zarara yansıtılacak şekilde sınıflandırılan finansal varlıkları içermektedir.</w:t>
      </w:r>
    </w:p>
    <w:p>
      <w:pPr>
        <w:ind w:left="567"/>
        <w:jc w:val="both"/>
        <w:rPr>
          <w:sz w:val="22"/>
          <w:szCs w:val="22"/>
        </w:rPr>
      </w:pPr>
      <w:r>
        <w:rPr>
          <w:sz w:val="22"/>
          <w:szCs w:val="22"/>
        </w:rPr>
        <w:t xml:space="preserve"> </w:t>
      </w:r>
    </w:p>
    <w:p>
      <w:pPr>
        <w:widowControl w:val="0"/>
        <w:tabs>
          <w:tab w:val="left" w:pos="567"/>
        </w:tabs>
        <w:ind w:left="567" w:right="28"/>
        <w:jc w:val="both"/>
        <w:rPr>
          <w:sz w:val="22"/>
          <w:szCs w:val="22"/>
        </w:rPr>
      </w:pPr>
      <w:r>
        <w:rPr>
          <w:sz w:val="22"/>
          <w:szCs w:val="22"/>
          <w:shd w:val="clear" w:color="auto" w:fill="FFFFFF"/>
        </w:rPr>
        <w:t>Alım satım amaçlı finansal varlıklar, bilançoya maliyet değerleri ile yansıtılmakta ve kayda alınmalarını müteakiben gerçeğe uygun değerleri ile değerlemeye tabi tutulmaktadır.</w:t>
      </w:r>
      <w:r>
        <w:rPr>
          <w:sz w:val="22"/>
          <w:szCs w:val="22"/>
        </w:rPr>
        <w:t xml:space="preserve"> </w:t>
      </w:r>
      <w:r>
        <w:rPr>
          <w:sz w:val="22"/>
          <w:szCs w:val="22"/>
        </w:rPr>
        <w:t>İstanbul Menk</w:t>
      </w:r>
      <w:r>
        <w:rPr>
          <w:sz w:val="22"/>
          <w:szCs w:val="22"/>
        </w:rPr>
        <w:t>ul Kıymetler Borsası’nda (İMKB)</w:t>
      </w:r>
      <w:r>
        <w:rPr>
          <w:sz w:val="22"/>
          <w:szCs w:val="22"/>
        </w:rPr>
        <w:t xml:space="preserve"> işlem gören menkul kıymetler için gerçeğe uygun değerler </w:t>
      </w:r>
      <w:r>
        <w:rPr>
          <w:sz w:val="22"/>
          <w:szCs w:val="22"/>
        </w:rPr>
        <w:t xml:space="preserve">bilanço tarihinde İMKB’de oluşan ağırlıklı ortalama </w:t>
      </w:r>
      <w:r>
        <w:rPr>
          <w:sz w:val="22"/>
          <w:szCs w:val="22"/>
        </w:rPr>
        <w:t xml:space="preserve">takas </w:t>
      </w:r>
      <w:r>
        <w:rPr>
          <w:sz w:val="22"/>
          <w:szCs w:val="22"/>
        </w:rPr>
        <w:t>fiyatlar</w:t>
      </w:r>
      <w:r>
        <w:rPr>
          <w:sz w:val="22"/>
          <w:szCs w:val="22"/>
        </w:rPr>
        <w:t>ı</w:t>
      </w:r>
      <w:r>
        <w:rPr>
          <w:sz w:val="22"/>
          <w:szCs w:val="22"/>
        </w:rPr>
        <w:t xml:space="preserve"> </w:t>
      </w:r>
      <w:r>
        <w:rPr>
          <w:sz w:val="22"/>
          <w:szCs w:val="22"/>
        </w:rPr>
        <w:t xml:space="preserve">kullanılarak bulunur. </w:t>
      </w:r>
    </w:p>
    <w:p>
      <w:pPr>
        <w:tabs>
          <w:tab w:val="left" w:pos="567"/>
        </w:tabs>
        <w:ind w:left="567"/>
        <w:jc w:val="both"/>
        <w:rPr>
          <w:sz w:val="22"/>
          <w:szCs w:val="22"/>
        </w:rPr>
      </w:pPr>
    </w:p>
    <w:p>
      <w:pPr>
        <w:tabs>
          <w:tab w:val="left" w:pos="567"/>
        </w:tabs>
        <w:ind w:left="567"/>
        <w:jc w:val="both"/>
        <w:rPr>
          <w:rFonts w:eastAsia="Arial Unicode MS"/>
          <w:bCs/>
          <w:sz w:val="22"/>
          <w:szCs w:val="22"/>
        </w:rPr>
      </w:pPr>
      <w:r>
        <w:rPr>
          <w:sz w:val="22"/>
          <w:szCs w:val="22"/>
        </w:rPr>
        <w:t xml:space="preserve">Yapılan değerleme sonucunda </w:t>
      </w:r>
      <w:r>
        <w:rPr>
          <w:rFonts w:eastAsia="Arial Unicode MS"/>
          <w:bCs/>
          <w:sz w:val="22"/>
          <w:szCs w:val="22"/>
        </w:rPr>
        <w:t>elde etme maliyeti ile rayiç değerleri arasında oluşan fark, “Diğer Faiz ve Gelir Reeskontları” hesabı veya “Menkul Değerler Değer Düşüş Karşılığı” hesabına yansıtılmaktadır. Oluşan kazanç ya da kayıp aynı zamanda kar/zarar hesaplarına dahil edilmektedir. Alım satım amaçlı finansal varlıkların elde tutulma esnasında kazanılan faizler de faiz geliri hesaplarına intikal ettirilmektedir.</w:t>
      </w:r>
    </w:p>
    <w:p>
      <w:pPr>
        <w:tabs>
          <w:tab w:val="left" w:pos="567"/>
        </w:tabs>
        <w:ind w:left="567"/>
        <w:jc w:val="both"/>
        <w:rPr>
          <w:sz w:val="22"/>
          <w:szCs w:val="22"/>
        </w:rPr>
      </w:pPr>
    </w:p>
    <w:p>
      <w:pPr>
        <w:ind w:left="567"/>
        <w:jc w:val="both"/>
        <w:rPr>
          <w:sz w:val="22"/>
          <w:szCs w:val="22"/>
        </w:rPr>
      </w:pPr>
      <w:r>
        <w:rPr>
          <w:sz w:val="22"/>
          <w:szCs w:val="22"/>
        </w:rPr>
        <w:t>Finansal araçların normal yoldan alım satımı, bir finansal varlığın, genellikle yasal düzenlemeler veya</w:t>
      </w:r>
      <w:r>
        <w:rPr>
          <w:sz w:val="22"/>
          <w:szCs w:val="22"/>
        </w:rPr>
        <w:t xml:space="preserve"> </w:t>
      </w:r>
      <w:r>
        <w:rPr>
          <w:sz w:val="22"/>
          <w:szCs w:val="22"/>
        </w:rPr>
        <w:t>ilgili piyasa teamülleri çerçevesinde belirlenen bir süre içerisinde teslimini gerektiren bir</w:t>
      </w:r>
      <w:r>
        <w:rPr>
          <w:sz w:val="22"/>
          <w:szCs w:val="22"/>
        </w:rPr>
        <w:t xml:space="preserve"> </w:t>
      </w:r>
      <w:r>
        <w:rPr>
          <w:sz w:val="22"/>
          <w:szCs w:val="22"/>
        </w:rPr>
        <w:t xml:space="preserve">sözleşme çerçevesinde satın alınması veya satılmasıdır. </w:t>
      </w:r>
      <w:r>
        <w:rPr>
          <w:sz w:val="22"/>
          <w:szCs w:val="22"/>
        </w:rPr>
        <w:t>G</w:t>
      </w:r>
      <w:r>
        <w:rPr>
          <w:sz w:val="22"/>
          <w:szCs w:val="22"/>
        </w:rPr>
        <w:t>erçeğe uygun değer farkı k</w:t>
      </w:r>
      <w:r>
        <w:rPr>
          <w:sz w:val="22"/>
          <w:szCs w:val="22"/>
        </w:rPr>
        <w:t>a</w:t>
      </w:r>
      <w:r>
        <w:rPr>
          <w:sz w:val="22"/>
          <w:szCs w:val="22"/>
        </w:rPr>
        <w:t>r veya zarara yansıtılan olarak sınıflandırılan bir finansal varlığa ilişkin olarak ortaya çıkan kazanç veya kayıp, k</w:t>
      </w:r>
      <w:r>
        <w:rPr>
          <w:sz w:val="22"/>
          <w:szCs w:val="22"/>
        </w:rPr>
        <w:t>a</w:t>
      </w:r>
      <w:r>
        <w:rPr>
          <w:sz w:val="22"/>
          <w:szCs w:val="22"/>
        </w:rPr>
        <w:t xml:space="preserve">r ya da zararda izlenmektedir. </w:t>
      </w:r>
    </w:p>
    <w:p>
      <w:pPr>
        <w:ind w:left="567"/>
        <w:jc w:val="both"/>
        <w:rPr>
          <w:sz w:val="22"/>
          <w:szCs w:val="22"/>
        </w:rPr>
      </w:pPr>
    </w:p>
    <w:p>
      <w:pPr>
        <w:ind w:left="567"/>
        <w:jc w:val="both"/>
        <w:rPr>
          <w:sz w:val="22"/>
          <w:szCs w:val="22"/>
        </w:rPr>
      </w:pPr>
      <w:r>
        <w:rPr>
          <w:sz w:val="22"/>
          <w:szCs w:val="22"/>
        </w:rPr>
        <w:t>Banka</w:t>
      </w:r>
      <w:r>
        <w:rPr>
          <w:sz w:val="22"/>
          <w:szCs w:val="22"/>
        </w:rPr>
        <w:t xml:space="preserve">, Gerçeğe Uygun Değer Farkı Kar/Zarara Yansıtılan Finansal Varlıklarını bu grupta yer alan Alım Satım Amaçlı Finansal Varlıklar bölümünde sınıflandırmaktadır. </w:t>
      </w:r>
      <w:r>
        <w:rPr>
          <w:sz w:val="22"/>
          <w:szCs w:val="22"/>
        </w:rPr>
        <w:t>Banka’nın g</w:t>
      </w:r>
      <w:r>
        <w:rPr>
          <w:sz w:val="22"/>
          <w:szCs w:val="22"/>
        </w:rPr>
        <w:t>erçeğe uygun değer</w:t>
      </w:r>
      <w:r>
        <w:rPr>
          <w:sz w:val="22"/>
          <w:szCs w:val="22"/>
        </w:rPr>
        <w:t xml:space="preserve"> farkı k</w:t>
      </w:r>
      <w:r>
        <w:rPr>
          <w:sz w:val="22"/>
          <w:szCs w:val="22"/>
        </w:rPr>
        <w:t>a</w:t>
      </w:r>
      <w:r>
        <w:rPr>
          <w:sz w:val="22"/>
          <w:szCs w:val="22"/>
        </w:rPr>
        <w:t xml:space="preserve">r/zarara yansıtılan olarak sınıflandırdığı </w:t>
      </w:r>
      <w:r>
        <w:rPr>
          <w:sz w:val="22"/>
          <w:szCs w:val="22"/>
        </w:rPr>
        <w:t>menkul kıymeti</w:t>
      </w:r>
      <w:r>
        <w:rPr>
          <w:sz w:val="22"/>
          <w:szCs w:val="22"/>
        </w:rPr>
        <w:t xml:space="preserve"> bulunmamaktadır. </w:t>
      </w:r>
    </w:p>
    <w:p>
      <w:pPr>
        <w:ind w:left="567"/>
        <w:rPr>
          <w:sz w:val="22"/>
          <w:szCs w:val="22"/>
        </w:rPr>
      </w:pPr>
      <w:r>
        <w:t xml:space="preserve">  </w:t>
      </w:r>
    </w:p>
    <w:p>
      <w:pPr>
        <w:ind w:left="567"/>
        <w:jc w:val="both"/>
        <w:rPr>
          <w:b/>
          <w:bCs/>
          <w:sz w:val="22"/>
          <w:szCs w:val="22"/>
        </w:rPr>
      </w:pPr>
      <w:bookmarkStart w:id="0" w:name="OLE_LINK2"/>
    </w:p>
    <w:p>
      <w:pPr>
        <w:ind w:left="567"/>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 xml:space="preserve">VI- </w:t>
      </w:r>
      <w:r>
        <w:rPr>
          <w:b/>
          <w:bCs/>
          <w:sz w:val="22"/>
          <w:szCs w:val="22"/>
        </w:rPr>
        <w:tab/>
        <w:t>Finansal varlıklara ilişkin açıklamalar (devam ediyor):</w:t>
      </w:r>
    </w:p>
    <w:p>
      <w:pPr>
        <w:ind w:left="567"/>
        <w:jc w:val="both"/>
        <w:rPr>
          <w:b/>
          <w:bCs/>
          <w:sz w:val="22"/>
          <w:szCs w:val="22"/>
        </w:rPr>
      </w:pPr>
    </w:p>
    <w:p>
      <w:pPr>
        <w:ind w:left="567"/>
        <w:jc w:val="both"/>
        <w:rPr>
          <w:i/>
          <w:sz w:val="22"/>
          <w:szCs w:val="22"/>
        </w:rPr>
      </w:pPr>
      <w:r>
        <w:rPr>
          <w:bCs/>
          <w:i/>
          <w:sz w:val="22"/>
          <w:szCs w:val="22"/>
        </w:rPr>
        <w:t>Satılmaya Hazır Finansal Varlıklar:</w:t>
      </w:r>
      <w:r>
        <w:rPr>
          <w:i/>
          <w:sz w:val="22"/>
          <w:szCs w:val="22"/>
        </w:rPr>
        <w:t xml:space="preserve"> </w:t>
      </w:r>
    </w:p>
    <w:p>
      <w:pPr>
        <w:ind w:left="567"/>
        <w:jc w:val="both"/>
        <w:rPr>
          <w:sz w:val="22"/>
          <w:szCs w:val="22"/>
        </w:rPr>
      </w:pPr>
    </w:p>
    <w:p>
      <w:pPr>
        <w:ind w:left="567"/>
        <w:jc w:val="both"/>
        <w:rPr>
          <w:sz w:val="22"/>
          <w:szCs w:val="22"/>
        </w:rPr>
      </w:pPr>
      <w:r>
        <w:rPr>
          <w:sz w:val="22"/>
          <w:szCs w:val="22"/>
        </w:rPr>
        <w:t>Satılmaya hazır finansal varlıklar, krediler ve alacaklar ile vadeye kadar elde tutulacak yatırımlar ve gerçeğe uygun değer farkı kar</w:t>
      </w:r>
      <w:r>
        <w:rPr>
          <w:sz w:val="22"/>
          <w:szCs w:val="22"/>
        </w:rPr>
        <w:t>/</w:t>
      </w:r>
      <w:r>
        <w:rPr>
          <w:sz w:val="22"/>
          <w:szCs w:val="22"/>
        </w:rPr>
        <w:t>zarara yansıtılan olarak sınıflandırılanlar dışında kalan türev olmayan finansal varlıklardır.</w:t>
      </w:r>
    </w:p>
    <w:p>
      <w:pPr>
        <w:ind w:left="567"/>
        <w:jc w:val="both"/>
        <w:rPr>
          <w:sz w:val="22"/>
          <w:szCs w:val="22"/>
        </w:rPr>
      </w:pPr>
    </w:p>
    <w:p>
      <w:pPr>
        <w:ind w:left="567"/>
        <w:jc w:val="both"/>
        <w:rPr>
          <w:sz w:val="22"/>
          <w:szCs w:val="22"/>
        </w:rPr>
      </w:pPr>
      <w:r>
        <w:rPr>
          <w:sz w:val="22"/>
          <w:szCs w:val="22"/>
        </w:rPr>
        <w:t>Satılmaya hazır finansal varlıklar, i</w:t>
      </w:r>
      <w:r>
        <w:rPr>
          <w:sz w:val="22"/>
          <w:szCs w:val="22"/>
        </w:rPr>
        <w:t xml:space="preserve">lk kayda alınmalarında işlem maliyetlerini de içeren elde etme maliyeti ile muhasebeleştirilmektedir. </w:t>
      </w:r>
      <w:r>
        <w:rPr>
          <w:sz w:val="22"/>
          <w:szCs w:val="22"/>
        </w:rPr>
        <w:t xml:space="preserve">İlk kayda alımdan sonra satılmaya hazır finansal varlıkların değerlemesi gerçeğe uygun değeri üzerinden yapılmaktadır. </w:t>
      </w:r>
      <w:r>
        <w:rPr>
          <w:sz w:val="22"/>
          <w:szCs w:val="22"/>
        </w:rPr>
        <w:t xml:space="preserve">İstanbul Menkul Kıymetler Borsası’nda (İMKB) işlem gören menkul kıymetler için gerçeğe uygun değerler bilanço tarihinde İMKB’de oluşan ağırlıklı ortalama takas fiyatları kullanılarak bulunur. Gerçeğe uygun değere esas teşkil eden fiyat oluşumlarının aktif </w:t>
      </w:r>
      <w:r>
        <w:rPr>
          <w:sz w:val="22"/>
          <w:szCs w:val="22"/>
        </w:rPr>
        <w:t>piyasa koşulları içerisinde gerç</w:t>
      </w:r>
      <w:r>
        <w:rPr>
          <w:sz w:val="22"/>
          <w:szCs w:val="22"/>
        </w:rPr>
        <w:t>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w:t>
      </w:r>
      <w:r>
        <w:rPr>
          <w:sz w:val="22"/>
          <w:szCs w:val="22"/>
        </w:rPr>
        <w:t xml:space="preserve"> </w:t>
      </w:r>
      <w:r>
        <w:rPr>
          <w:sz w:val="22"/>
          <w:szCs w:val="22"/>
        </w:rPr>
        <w:t>Satılmaya hazır finansal varlıklar içinde yer alan sabit ve değişken faizli menkul kıymetlere ilişkin faiz gelirleri,</w:t>
      </w:r>
      <w:r>
        <w:rPr>
          <w:sz w:val="22"/>
          <w:szCs w:val="22"/>
        </w:rPr>
        <w:t xml:space="preserve"> etkin faiz oranı kullanılarak iskonto edilmiş değerleri ile maliyet değerleri arasındaki farkı göstermekte olup</w:t>
      </w:r>
      <w:r>
        <w:rPr>
          <w:sz w:val="22"/>
          <w:szCs w:val="22"/>
        </w:rPr>
        <w:t xml:space="preserve"> menkul değerlerden alınan faiz gelirleri içinde muhasebeleştirilmektedir</w:t>
      </w:r>
      <w:r>
        <w:rPr>
          <w:sz w:val="22"/>
          <w:szCs w:val="22"/>
        </w:rPr>
        <w:t xml:space="preserve">. </w:t>
      </w:r>
      <w:r>
        <w:rPr>
          <w:sz w:val="22"/>
          <w:szCs w:val="22"/>
        </w:rPr>
        <w:t>G</w:t>
      </w:r>
      <w:r>
        <w:rPr>
          <w:sz w:val="22"/>
          <w:szCs w:val="22"/>
        </w:rPr>
        <w:t>erçeğe uygun değerdeki değişikliklerden kaynaklanan ve menkullerin iskonto edilmiş değeri ile gerçeğe uygun değeri arasındaki farkı ifade eden gerçekleşmemiş k</w:t>
      </w:r>
      <w:r>
        <w:rPr>
          <w:sz w:val="22"/>
          <w:szCs w:val="22"/>
        </w:rPr>
        <w:t>a</w:t>
      </w:r>
      <w:r>
        <w:rPr>
          <w:sz w:val="22"/>
          <w:szCs w:val="22"/>
        </w:rPr>
        <w:t xml:space="preserve">r veya zararlar özkaynak kalemleri içerisinde “Menkul Değerler Değer Artış Fonu” hesabı altında gösterilmektedir. Satılmaya hazır </w:t>
      </w:r>
      <w:r>
        <w:rPr>
          <w:sz w:val="22"/>
          <w:szCs w:val="22"/>
        </w:rPr>
        <w:t>finansal varlıkların</w:t>
      </w:r>
      <w:r>
        <w:rPr>
          <w:sz w:val="22"/>
          <w:szCs w:val="22"/>
        </w:rPr>
        <w:t xml:space="preserve"> elden çıkarılması durumunda özkaynaklarda menkul değerler değer artış fonu hesabında izlenen bunlara ait değer artış/azalışları gelir tablosuna devredilir. </w:t>
      </w:r>
    </w:p>
    <w:p>
      <w:pPr>
        <w:spacing w:before="120" w:after="120"/>
        <w:ind w:left="567"/>
        <w:jc w:val="both"/>
        <w:rPr>
          <w:bCs/>
          <w:i/>
          <w:sz w:val="22"/>
          <w:szCs w:val="22"/>
        </w:rPr>
      </w:pPr>
      <w:r>
        <w:rPr>
          <w:bCs/>
          <w:i/>
          <w:sz w:val="22"/>
          <w:szCs w:val="22"/>
        </w:rPr>
        <w:t>Krediler</w:t>
      </w:r>
      <w:r>
        <w:rPr>
          <w:bCs/>
          <w:i/>
          <w:sz w:val="22"/>
          <w:szCs w:val="22"/>
        </w:rPr>
        <w:t xml:space="preserve"> ve Alacaklar</w:t>
      </w:r>
      <w:r>
        <w:rPr>
          <w:bCs/>
          <w:i/>
          <w:sz w:val="22"/>
          <w:szCs w:val="22"/>
        </w:rPr>
        <w:t xml:space="preserve">: </w:t>
      </w:r>
    </w:p>
    <w:p>
      <w:pPr>
        <w:ind w:left="567"/>
        <w:jc w:val="both"/>
        <w:rPr>
          <w:sz w:val="22"/>
          <w:szCs w:val="22"/>
        </w:rPr>
      </w:pPr>
      <w:r>
        <w:rPr>
          <w:sz w:val="22"/>
          <w:szCs w:val="22"/>
        </w:rPr>
        <w:t xml:space="preserve">Krediler </w:t>
      </w:r>
      <w:r>
        <w:rPr>
          <w:sz w:val="22"/>
          <w:szCs w:val="22"/>
        </w:rPr>
        <w:t>ve alacaklar</w:t>
      </w:r>
      <w:r>
        <w:rPr>
          <w:sz w:val="22"/>
          <w:szCs w:val="22"/>
        </w:rPr>
        <w:t xml:space="preserve">; borçluya para, mal veya hizmet sağlama yoluyla yaratılan, </w:t>
      </w:r>
      <w:r>
        <w:rPr>
          <w:sz w:val="22"/>
          <w:szCs w:val="22"/>
        </w:rPr>
        <w:t>sabit veya belirlenebilir nitelikte ödemelere sahip olan ve aktif bir piyasada işlem görmeyen finansal varlıklardır.</w:t>
      </w:r>
    </w:p>
    <w:p>
      <w:pPr>
        <w:ind w:left="567"/>
        <w:jc w:val="both"/>
        <w:rPr>
          <w:sz w:val="22"/>
          <w:szCs w:val="22"/>
        </w:rPr>
      </w:pPr>
    </w:p>
    <w:p>
      <w:pPr>
        <w:ind w:left="567"/>
        <w:jc w:val="both"/>
        <w:rPr>
          <w:sz w:val="22"/>
          <w:szCs w:val="22"/>
        </w:rPr>
      </w:pPr>
      <w:r>
        <w:rPr>
          <w:sz w:val="22"/>
          <w:szCs w:val="22"/>
        </w:rPr>
        <w:t>Krediler elde etme maliyeti ile muhasebeleştirilme</w:t>
      </w:r>
      <w:r>
        <w:rPr>
          <w:sz w:val="22"/>
          <w:szCs w:val="22"/>
        </w:rPr>
        <w:t>kte, etkin faiz yöntemi ile iskonto</w:t>
      </w:r>
      <w:r>
        <w:rPr>
          <w:sz w:val="22"/>
          <w:szCs w:val="22"/>
        </w:rPr>
        <w:t xml:space="preserve"> edilmiş maliyet tutarı üzerinden değerlenmektedir. Bunların teminatı olarak alınan varlıklarla ilgili olarak ödenen harç, işlem gideri ve bunun gibi diğer masraflar işlem maliyetinin bir bölümü olarak kabul edilmekte ve müşteriye yansıtılmaktadır.</w:t>
      </w:r>
    </w:p>
    <w:p>
      <w:pPr>
        <w:tabs>
          <w:tab w:val="left" w:pos="540"/>
          <w:tab w:val="left" w:pos="1260"/>
          <w:tab w:val="right" w:leader="dot" w:pos="8280"/>
          <w:tab w:val="right" w:pos="9000"/>
        </w:tabs>
        <w:ind w:left="567"/>
        <w:jc w:val="both"/>
        <w:rPr>
          <w:b/>
          <w:bCs/>
          <w:sz w:val="16"/>
          <w:szCs w:val="16"/>
        </w:rPr>
      </w:pPr>
    </w:p>
    <w:p>
      <w:pPr>
        <w:ind w:left="567"/>
        <w:jc w:val="both"/>
        <w:rPr>
          <w:sz w:val="22"/>
          <w:szCs w:val="22"/>
        </w:rPr>
      </w:pPr>
      <w:r>
        <w:rPr>
          <w:sz w:val="22"/>
          <w:szCs w:val="22"/>
        </w:rPr>
        <w:t xml:space="preserve">Kullandırılan nakdi krediler TP’de dövize endeksli krediler, </w:t>
      </w:r>
      <w:r>
        <w:rPr>
          <w:sz w:val="22"/>
          <w:szCs w:val="22"/>
        </w:rPr>
        <w:t xml:space="preserve">yatırım ve işletme </w:t>
      </w:r>
      <w:r>
        <w:rPr>
          <w:sz w:val="22"/>
          <w:szCs w:val="22"/>
        </w:rPr>
        <w:t>kredileri, fon kaynaklı krediler, YP’de ise ihracatın finansmanında kullandırılan krediler ve yatırım kredilerinden oluşmaktadır.</w:t>
      </w:r>
    </w:p>
    <w:p>
      <w:pPr>
        <w:ind w:left="567"/>
        <w:jc w:val="both"/>
        <w:rPr>
          <w:sz w:val="22"/>
          <w:szCs w:val="22"/>
        </w:rPr>
      </w:pPr>
    </w:p>
    <w:p>
      <w:pPr>
        <w:ind w:left="567"/>
        <w:jc w:val="both"/>
        <w:rPr>
          <w:sz w:val="22"/>
          <w:szCs w:val="22"/>
        </w:rPr>
      </w:pPr>
      <w:r>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pPr>
        <w:ind w:left="567"/>
        <w:jc w:val="both"/>
        <w:rPr>
          <w:sz w:val="16"/>
          <w:szCs w:val="16"/>
        </w:rPr>
      </w:pPr>
    </w:p>
    <w:p>
      <w:pPr>
        <w:tabs>
          <w:tab w:val="left" w:pos="993"/>
        </w:tabs>
        <w:ind w:left="540"/>
        <w:jc w:val="both"/>
        <w:rPr>
          <w:sz w:val="22"/>
          <w:szCs w:val="22"/>
        </w:rPr>
      </w:pPr>
      <w:r>
        <w:rPr>
          <w:sz w:val="22"/>
          <w:szCs w:val="22"/>
        </w:rPr>
        <w:t>Sorunlu hale gelmiş olarak kabul edilen krediler, 1 Kasım 2006 tarih ve 26333 sayılı Resmi Gazete’de yayımlanmış olan “Bankalarca Kredilerin ve Diğer Alacakların Niteliklerinin Belirlenmesi ve Bunlar için Ayrılacak Karşılıklara İlişkin Esas ve Usuller Hakkında Yönetmelik”te yer alan esaslar çerçevesinde sınıflandırılmakta</w:t>
      </w:r>
      <w:r>
        <w:rPr>
          <w:sz w:val="22"/>
          <w:szCs w:val="22"/>
        </w:rPr>
        <w:t>dır.</w:t>
      </w:r>
      <w:r>
        <w:rPr>
          <w:sz w:val="22"/>
          <w:szCs w:val="22"/>
        </w:rPr>
        <w:t xml:space="preserve"> </w:t>
      </w:r>
      <w:r>
        <w:rPr>
          <w:sz w:val="22"/>
          <w:szCs w:val="22"/>
        </w:rPr>
        <w:t xml:space="preserve">Donuk alacak hesaplarına intikal eden nakdi krediler için, teminatların dikkate alınma oranları uygulanmak suretiyle bulunan teminat tutarı takip risk bakiyesinden düşülmekte, kalan tutar </w:t>
      </w:r>
      <w:r>
        <w:rPr>
          <w:sz w:val="22"/>
          <w:szCs w:val="22"/>
        </w:rPr>
        <w:t xml:space="preserve">için en az yönetmelikte belirlenen asgari oranlarda olmak üzere </w:t>
      </w:r>
      <w:r>
        <w:rPr>
          <w:sz w:val="22"/>
          <w:szCs w:val="22"/>
        </w:rPr>
        <w:t xml:space="preserve">özel karşılık ayrılmaktadır. </w:t>
      </w:r>
      <w:r>
        <w:rPr>
          <w:sz w:val="22"/>
          <w:szCs w:val="22"/>
        </w:rPr>
        <w:t>Özel karşılıklar “820 Karşılık ve Değer Düşme Giderleri – 82000</w:t>
      </w:r>
      <w:r>
        <w:rPr>
          <w:sz w:val="22"/>
          <w:szCs w:val="22"/>
        </w:rPr>
        <w:t xml:space="preserve"> </w:t>
      </w:r>
      <w:r>
        <w:rPr>
          <w:sz w:val="22"/>
          <w:szCs w:val="22"/>
        </w:rPr>
        <w:t>Özel Karşılık</w:t>
      </w:r>
      <w:r>
        <w:rPr>
          <w:sz w:val="22"/>
          <w:szCs w:val="22"/>
        </w:rPr>
        <w:t xml:space="preserve"> Giderleri Hesabı”na aktarılmak</w:t>
      </w:r>
      <w:r>
        <w:rPr>
          <w:sz w:val="22"/>
          <w:szCs w:val="22"/>
        </w:rPr>
        <w:t>tadır. Aynı yıl içinde serbest kalan karşılıklar, Karşılık Giderleri hesabına alacak kaydedilmek suretiyle, geçmiş yıllarda ayrılan karşılıkların serbest kalan bölümü ise “Diğer Faaliyet Gelirleri” hesabına aktarılarak m</w:t>
      </w:r>
      <w:r>
        <w:rPr>
          <w:sz w:val="22"/>
          <w:szCs w:val="22"/>
        </w:rPr>
        <w:t>u</w:t>
      </w:r>
      <w:r>
        <w:rPr>
          <w:sz w:val="22"/>
          <w:szCs w:val="22"/>
        </w:rPr>
        <w:t>hasebeleştirilmektedir.</w:t>
      </w:r>
    </w:p>
    <w:p>
      <w:pPr>
        <w:tabs>
          <w:tab w:val="left" w:pos="0"/>
          <w:tab w:val="left" w:pos="851"/>
        </w:tabs>
        <w:suppressAutoHyphens/>
        <w:jc w:val="both"/>
        <w:rPr>
          <w:b/>
          <w:bCs/>
          <w:sz w:val="16"/>
          <w:szCs w:val="16"/>
        </w:rPr>
      </w:pPr>
    </w:p>
    <w:p>
      <w:pPr>
        <w:tabs>
          <w:tab w:val="left" w:pos="540"/>
        </w:tabs>
        <w:ind w:left="540" w:firstLine="27"/>
        <w:jc w:val="both"/>
        <w:rPr>
          <w:sz w:val="22"/>
          <w:szCs w:val="22"/>
        </w:rPr>
      </w:pPr>
      <w:r>
        <w:rPr>
          <w:sz w:val="22"/>
          <w:szCs w:val="22"/>
        </w:rPr>
        <w:t>Yapılan tahsilatlar “Tasfiye Olunacak Alacaklar (Tahsili Şüpheli Alacaklardan Alınanlar Dahil)” ile “Zarar Niteliğindeki Krediler Ve Diğer Alacaklardan Alınan Faizler” hesaplarına intikal ettirilmektedir.</w:t>
      </w:r>
    </w:p>
    <w:p>
      <w:pPr>
        <w:tabs>
          <w:tab w:val="left" w:pos="540"/>
        </w:tabs>
        <w:ind w:left="540" w:firstLine="27"/>
        <w:jc w:val="both"/>
        <w:rPr>
          <w:sz w:val="16"/>
          <w:szCs w:val="16"/>
          <w:lang w:eastAsia="en-US"/>
        </w:rPr>
      </w:pPr>
    </w:p>
    <w:p>
      <w:pPr>
        <w:tabs>
          <w:tab w:val="left" w:pos="540"/>
        </w:tabs>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VI-</w:t>
      </w:r>
      <w:r>
        <w:rPr>
          <w:b/>
          <w:bCs/>
          <w:sz w:val="22"/>
          <w:szCs w:val="22"/>
        </w:rPr>
        <w:t xml:space="preserve"> </w:t>
      </w:r>
      <w:r>
        <w:rPr>
          <w:b/>
          <w:bCs/>
          <w:sz w:val="22"/>
          <w:szCs w:val="22"/>
        </w:rPr>
        <w:tab/>
        <w:t>Finansal varlıklara ilişkin açıklamalar (devam ediyor):</w:t>
      </w:r>
    </w:p>
    <w:p>
      <w:pPr>
        <w:tabs>
          <w:tab w:val="left" w:pos="0"/>
          <w:tab w:val="left" w:pos="851"/>
        </w:tabs>
        <w:suppressAutoHyphens/>
        <w:jc w:val="both"/>
        <w:rPr>
          <w:b/>
          <w:bCs/>
          <w:sz w:val="22"/>
          <w:szCs w:val="22"/>
        </w:rPr>
      </w:pPr>
    </w:p>
    <w:p>
      <w:pPr>
        <w:ind w:left="567"/>
        <w:jc w:val="both"/>
        <w:rPr>
          <w:bCs/>
          <w:i/>
          <w:sz w:val="22"/>
          <w:szCs w:val="22"/>
        </w:rPr>
      </w:pPr>
      <w:r>
        <w:rPr>
          <w:bCs/>
          <w:i/>
          <w:sz w:val="22"/>
          <w:szCs w:val="22"/>
        </w:rPr>
        <w:t>Vadeye Kadar Elde Tutulacak Yatırımlar:</w:t>
      </w:r>
    </w:p>
    <w:p>
      <w:pPr>
        <w:ind w:left="567"/>
        <w:jc w:val="both"/>
        <w:rPr>
          <w:sz w:val="22"/>
          <w:szCs w:val="22"/>
        </w:rPr>
      </w:pPr>
    </w:p>
    <w:p>
      <w:pPr>
        <w:ind w:left="567"/>
        <w:jc w:val="both"/>
        <w:rPr>
          <w:sz w:val="22"/>
          <w:szCs w:val="22"/>
        </w:rPr>
      </w:pPr>
      <w:r>
        <w:rPr>
          <w:sz w:val="22"/>
          <w:szCs w:val="22"/>
        </w:rPr>
        <w:t>Vade sonuna kadar elde tutulma niyetiyle edinilen, fonlama kabiliyeti dahil olmak üzere vade sonuna kadar elde tutulabilmesi için gerekli koşulların sağlanmış olduğu, sabit veya belirlenebilir ödemeleri ile sabit vadesi bulunan</w:t>
      </w:r>
      <w:r>
        <w:rPr>
          <w:sz w:val="22"/>
          <w:szCs w:val="22"/>
        </w:rPr>
        <w:t xml:space="preserve"> ile muhasebeleştirme sırasında gerçeğe uygun değer farkı kar veya zarara yansıtılan </w:t>
      </w:r>
      <w:r>
        <w:rPr>
          <w:sz w:val="22"/>
          <w:szCs w:val="22"/>
        </w:rPr>
        <w:t xml:space="preserve">ve satılmaya hazır </w:t>
      </w:r>
      <w:r>
        <w:rPr>
          <w:sz w:val="22"/>
          <w:szCs w:val="22"/>
        </w:rPr>
        <w:t xml:space="preserve">olarak sınıflandırılanlar ile </w:t>
      </w:r>
      <w:r>
        <w:rPr>
          <w:sz w:val="22"/>
          <w:szCs w:val="22"/>
        </w:rPr>
        <w:t xml:space="preserve">krediler ve alacaklar dışında kalan </w:t>
      </w:r>
      <w:r>
        <w:rPr>
          <w:sz w:val="22"/>
          <w:szCs w:val="22"/>
        </w:rPr>
        <w:t xml:space="preserve">türev olmayan </w:t>
      </w:r>
      <w:r>
        <w:rPr>
          <w:sz w:val="22"/>
          <w:szCs w:val="22"/>
        </w:rPr>
        <w:t>finansal varlıklardan oluşmaktadır.</w:t>
      </w:r>
    </w:p>
    <w:p>
      <w:pPr>
        <w:ind w:left="567"/>
        <w:jc w:val="both"/>
        <w:rPr>
          <w:sz w:val="22"/>
          <w:szCs w:val="22"/>
        </w:rPr>
      </w:pPr>
    </w:p>
    <w:p>
      <w:pPr>
        <w:ind w:left="567"/>
        <w:jc w:val="both"/>
        <w:rPr>
          <w:sz w:val="22"/>
          <w:szCs w:val="22"/>
        </w:rPr>
      </w:pPr>
      <w:r>
        <w:rPr>
          <w:sz w:val="22"/>
          <w:szCs w:val="22"/>
        </w:rPr>
        <w:t>Önceden vadeye kadar elde tutulan yatırımlar arasında sınıflandırılan</w:t>
      </w:r>
      <w:r>
        <w:rPr>
          <w:sz w:val="22"/>
          <w:szCs w:val="22"/>
        </w:rPr>
        <w:t>;</w:t>
      </w:r>
      <w:r>
        <w:rPr>
          <w:sz w:val="22"/>
          <w:szCs w:val="22"/>
        </w:rPr>
        <w:t xml:space="preserve"> ancak sınıflandırma esaslarına uyulmadığından iki yıl boyunca bu sınıflandırmaya tabi</w:t>
      </w:r>
      <w:r>
        <w:rPr>
          <w:sz w:val="22"/>
          <w:szCs w:val="22"/>
        </w:rPr>
        <w:t xml:space="preserve"> tutulmayacak finansal varlık</w:t>
      </w:r>
      <w:r>
        <w:rPr>
          <w:sz w:val="22"/>
          <w:szCs w:val="22"/>
        </w:rPr>
        <w:t xml:space="preserve"> bulunmamaktadır. </w:t>
      </w:r>
    </w:p>
    <w:p>
      <w:pPr>
        <w:ind w:left="567"/>
        <w:jc w:val="both"/>
        <w:rPr>
          <w:sz w:val="22"/>
          <w:szCs w:val="22"/>
        </w:rPr>
      </w:pPr>
    </w:p>
    <w:p>
      <w:pPr>
        <w:ind w:left="567"/>
        <w:jc w:val="both"/>
        <w:rPr>
          <w:sz w:val="22"/>
          <w:szCs w:val="22"/>
        </w:rPr>
      </w:pPr>
      <w:r>
        <w:rPr>
          <w:sz w:val="22"/>
          <w:szCs w:val="22"/>
        </w:rPr>
        <w:t>Vadeye kadar elde tutulacak yatırımlar ilk kayda alımdan sonra, var ise değer azalışı için ayrılan karşılık düşülerek</w:t>
      </w:r>
      <w:r>
        <w:rPr>
          <w:sz w:val="22"/>
          <w:szCs w:val="22"/>
        </w:rPr>
        <w:t xml:space="preserve"> veya faiz gelir reeskont</w:t>
      </w:r>
      <w:r>
        <w:rPr>
          <w:sz w:val="22"/>
          <w:szCs w:val="22"/>
        </w:rPr>
        <w:t>u</w:t>
      </w:r>
      <w:r>
        <w:rPr>
          <w:sz w:val="22"/>
          <w:szCs w:val="22"/>
        </w:rPr>
        <w:t xml:space="preserve"> yapılarak</w:t>
      </w:r>
      <w:r>
        <w:rPr>
          <w:sz w:val="22"/>
          <w:szCs w:val="22"/>
        </w:rPr>
        <w:t>, etkin faiz yöntemiyle hesaplanan iskonto edilmiş maliyeti ile muhasebeleştirilmektedir.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bCs/>
          <w:sz w:val="22"/>
          <w:szCs w:val="22"/>
        </w:rPr>
      </w:pPr>
      <w:r>
        <w:rPr>
          <w:bCs/>
          <w:sz w:val="22"/>
          <w:szCs w:val="22"/>
        </w:rPr>
        <w:t>Vadeye kadar elde tutulacak yatırımlardan kazanılmış olan faizler, faiz geliri olarak kaydedilmektedir.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i/>
          <w:sz w:val="22"/>
          <w:szCs w:val="22"/>
        </w:rPr>
      </w:pPr>
      <w:r>
        <w:rPr>
          <w:bCs/>
          <w:i/>
          <w:sz w:val="22"/>
          <w:szCs w:val="22"/>
        </w:rPr>
        <w:t xml:space="preserve">Nakit </w:t>
      </w:r>
      <w:r>
        <w:rPr>
          <w:bCs/>
          <w:i/>
          <w:sz w:val="22"/>
          <w:szCs w:val="22"/>
        </w:rPr>
        <w:t xml:space="preserve">ve Nakit Benzeri </w:t>
      </w:r>
      <w:r>
        <w:rPr>
          <w:bCs/>
          <w:i/>
          <w:sz w:val="22"/>
          <w:szCs w:val="22"/>
        </w:rPr>
        <w:t>D</w:t>
      </w:r>
      <w:r>
        <w:rPr>
          <w:bCs/>
          <w:i/>
          <w:sz w:val="22"/>
          <w:szCs w:val="22"/>
        </w:rPr>
        <w:t>eğerler</w:t>
      </w:r>
      <w:r>
        <w:rPr>
          <w:i/>
          <w:sz w:val="22"/>
          <w:szCs w:val="22"/>
        </w:rPr>
        <w:t xml:space="preserve">: </w:t>
      </w:r>
    </w:p>
    <w:p>
      <w:pPr>
        <w:tabs>
          <w:tab w:val="left" w:pos="-54"/>
          <w:tab w:val="left" w:pos="0"/>
          <w:tab w:val="left" w:pos="851"/>
        </w:tabs>
        <w:suppressAutoHyphens/>
        <w:ind w:left="567" w:right="-1"/>
        <w:jc w:val="both"/>
        <w:rPr>
          <w:sz w:val="22"/>
          <w:szCs w:val="22"/>
        </w:rPr>
      </w:pPr>
    </w:p>
    <w:p>
      <w:pPr>
        <w:tabs>
          <w:tab w:val="left" w:pos="0"/>
        </w:tabs>
        <w:ind w:left="567"/>
        <w:jc w:val="both"/>
        <w:rPr>
          <w:sz w:val="22"/>
          <w:szCs w:val="22"/>
        </w:rPr>
      </w:pPr>
      <w:r>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bookmarkEnd w:id="0"/>
    </w:p>
    <w:p>
      <w:pPr>
        <w:tabs>
          <w:tab w:val="left" w:pos="567"/>
        </w:tabs>
        <w:jc w:val="both"/>
        <w:rPr>
          <w:b/>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w:t>
      </w:r>
    </w:p>
    <w:p>
      <w:pPr>
        <w:ind w:left="360"/>
        <w:jc w:val="both"/>
        <w:rPr>
          <w:b/>
          <w:bCs/>
          <w:sz w:val="22"/>
          <w:szCs w:val="22"/>
        </w:rPr>
      </w:pPr>
    </w:p>
    <w:p>
      <w:pPr>
        <w:ind w:left="567"/>
        <w:jc w:val="both"/>
        <w:rPr>
          <w:sz w:val="22"/>
          <w:szCs w:val="22"/>
        </w:rPr>
      </w:pPr>
      <w:r>
        <w:rPr>
          <w:sz w:val="22"/>
          <w:szCs w:val="22"/>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pPr>
        <w:ind w:left="567"/>
        <w:jc w:val="both"/>
        <w:rPr>
          <w:b/>
          <w:bCs/>
          <w:sz w:val="22"/>
          <w:szCs w:val="22"/>
        </w:rPr>
      </w:pPr>
    </w:p>
    <w:p>
      <w:pPr>
        <w:tabs>
          <w:tab w:val="left" w:pos="6946"/>
        </w:tabs>
        <w:ind w:left="567"/>
        <w:jc w:val="both"/>
        <w:rPr>
          <w:snapToGrid w:val="0"/>
          <w:sz w:val="22"/>
          <w:szCs w:val="22"/>
        </w:rPr>
      </w:pPr>
      <w:r>
        <w:rPr>
          <w:snapToGrid w:val="0"/>
          <w:sz w:val="22"/>
          <w:szCs w:val="22"/>
        </w:rPr>
        <w:t>Finansal araçların gelecekte beklenen nakit akışlarının etkin faiz oranı ile iskonto edilmek suretiyle hesaplanan tahmini tahsil edilebilir tutarının veya varsa gerçeğe uygun değerine göre muhasebeleştirilen tutarının defter değerinden düşük olması durumunda söz konusu finansal aracın değer düşüklüğüne uğradığı kabul edilir. Finansal aracın uğradığı değer düşüklüğü için karşılık ayrıl</w:t>
      </w:r>
      <w:r>
        <w:rPr>
          <w:snapToGrid w:val="0"/>
          <w:sz w:val="22"/>
          <w:szCs w:val="22"/>
        </w:rPr>
        <w:t>makta</w:t>
      </w:r>
      <w:r>
        <w:rPr>
          <w:snapToGrid w:val="0"/>
          <w:sz w:val="22"/>
          <w:szCs w:val="22"/>
        </w:rPr>
        <w:t xml:space="preserve"> ve ayrılan karşılık gider hesapları ile ilişkilendirilmektedir. </w:t>
      </w:r>
    </w:p>
    <w:p>
      <w:pPr>
        <w:jc w:val="both"/>
        <w:rPr>
          <w:sz w:val="22"/>
          <w:szCs w:val="22"/>
        </w:rPr>
      </w:pPr>
    </w:p>
    <w:p>
      <w:pPr>
        <w:ind w:left="567"/>
        <w:jc w:val="both"/>
        <w:rPr>
          <w:sz w:val="22"/>
          <w:szCs w:val="22"/>
        </w:rPr>
      </w:pPr>
      <w:r>
        <w:rPr>
          <w:sz w:val="22"/>
          <w:szCs w:val="22"/>
        </w:rPr>
        <w:t>Alım satım amaçlı finansal varlıkların değerinde oluşan farklar ilgili dönemde gelir tablosu hesapları ile ilişkilendirilmektedir.</w:t>
      </w:r>
    </w:p>
    <w:p>
      <w:pPr>
        <w:ind w:left="567" w:hanging="284"/>
        <w:jc w:val="both"/>
        <w:rPr>
          <w:sz w:val="22"/>
          <w:szCs w:val="22"/>
        </w:rPr>
      </w:pPr>
    </w:p>
    <w:p>
      <w:pPr>
        <w:ind w:left="567"/>
        <w:jc w:val="both"/>
        <w:rPr>
          <w:bCs/>
          <w:sz w:val="22"/>
          <w:szCs w:val="22"/>
        </w:rPr>
      </w:pPr>
      <w:r>
        <w:rPr>
          <w:bCs/>
          <w:sz w:val="22"/>
          <w:szCs w:val="22"/>
        </w:rPr>
        <w:t>Satılmaya hazır finansal varlıklara dair kalıcı değer düşüşü olması durumunda, ilgili Türkiye Muhasebe Standardı hükümleri çerçevesinde, “Menkul Değerler Değer Düşme Giderleri” hesabının borcuna kaydedilmektedir.</w:t>
      </w:r>
    </w:p>
    <w:p>
      <w:pPr>
        <w:ind w:left="567"/>
        <w:jc w:val="both"/>
        <w:rPr>
          <w:bCs/>
          <w:sz w:val="22"/>
          <w:szCs w:val="22"/>
        </w:rPr>
      </w:pPr>
    </w:p>
    <w:p>
      <w:pPr>
        <w:ind w:left="567"/>
        <w:jc w:val="both"/>
        <w:rPr>
          <w:bCs/>
          <w:sz w:val="22"/>
          <w:szCs w:val="22"/>
        </w:rPr>
      </w:pPr>
      <w:r>
        <w:rPr>
          <w:bCs/>
          <w:sz w:val="22"/>
          <w:szCs w:val="22"/>
        </w:rPr>
        <w:t xml:space="preserve">Vadeye kadar elde tutulacak yatırımlara ilişkin değer düşüklüğü zararı meydana gelmesi durumunda, ilgili zararın tutarı, gelecekteki tahmini nakit akışlarının finansal varlığın orijinal faiz oranı üzerinden iskonto edilerek hesaplanan bugünkü değeri ile defter değeri arasındaki fark olarak ölçülmekte, söz konusu fark tutarının zarar olarak muhasebeleştirilmesi yoluyla da varlığın defter değeri azaltılmaktadır. Müteakip dönemlerde, değer düşüklüğü tutarının azalması durumunda, daha önce muhasebeleştirilmiş bulunan değer düşüklüğü zararı iptal edilmektedir.   </w:t>
      </w:r>
    </w:p>
    <w:p>
      <w:pPr>
        <w:ind w:left="567"/>
        <w:jc w:val="both"/>
        <w:rPr>
          <w:bCs/>
          <w:sz w:val="22"/>
          <w:szCs w:val="22"/>
        </w:rPr>
      </w:pPr>
    </w:p>
    <w:p>
      <w:pPr>
        <w:ind w:left="567"/>
        <w:jc w:val="both"/>
        <w:rPr>
          <w:bCs/>
          <w:sz w:val="2"/>
          <w:szCs w:val="2"/>
        </w:rPr>
      </w:pPr>
      <w:r>
        <w:rPr>
          <w:bCs/>
          <w:sz w:val="22"/>
          <w:szCs w:val="22"/>
        </w:rPr>
        <w:br w:type="page"/>
      </w:r>
    </w:p>
    <w:p>
      <w:pPr>
        <w:ind w:left="567"/>
        <w:jc w:val="both"/>
        <w:rPr>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 (devam ediyor):</w:t>
      </w:r>
    </w:p>
    <w:p>
      <w:pPr>
        <w:ind w:left="567"/>
        <w:jc w:val="both"/>
        <w:rPr>
          <w:bCs/>
          <w:sz w:val="22"/>
          <w:szCs w:val="22"/>
        </w:rPr>
      </w:pPr>
    </w:p>
    <w:p>
      <w:pPr>
        <w:ind w:left="567"/>
        <w:jc w:val="both"/>
        <w:rPr>
          <w:sz w:val="22"/>
          <w:szCs w:val="22"/>
        </w:rPr>
      </w:pPr>
      <w:r>
        <w:rPr>
          <w:sz w:val="22"/>
          <w:szCs w:val="22"/>
        </w:rPr>
        <w:t>Banka yönetimi tarafından düzenli aralıklarla kredi portföyü izlenmekte ve kullandırılan kredilerin</w:t>
      </w:r>
      <w:r>
        <w:rPr>
          <w:sz w:val="22"/>
          <w:szCs w:val="22"/>
        </w:rPr>
        <w:t xml:space="preserve"> </w:t>
      </w:r>
      <w:r>
        <w:rPr>
          <w:sz w:val="22"/>
          <w:szCs w:val="22"/>
        </w:rPr>
        <w:t>tahsil edilemeyeceğine ilişkin şüphelerin</w:t>
      </w:r>
      <w:r>
        <w:rPr>
          <w:sz w:val="22"/>
          <w:szCs w:val="22"/>
        </w:rPr>
        <w:t xml:space="preserve"> </w:t>
      </w:r>
      <w:r>
        <w:rPr>
          <w:sz w:val="22"/>
          <w:szCs w:val="22"/>
        </w:rPr>
        <w:t>görülmesi</w:t>
      </w:r>
      <w:r>
        <w:rPr>
          <w:sz w:val="22"/>
          <w:szCs w:val="22"/>
        </w:rPr>
        <w:t xml:space="preserve"> </w:t>
      </w:r>
      <w:r>
        <w:rPr>
          <w:sz w:val="22"/>
          <w:szCs w:val="22"/>
        </w:rPr>
        <w:t>durumunda söz konusu krediler 1 Kasım 2006 tarih ve 26333 sayılı Resmi Gazete’de ya</w:t>
      </w:r>
      <w:r>
        <w:rPr>
          <w:sz w:val="22"/>
          <w:szCs w:val="22"/>
        </w:rPr>
        <w:t>yımlanan “Bankalarca Kredilerin</w:t>
      </w:r>
      <w:r>
        <w:rPr>
          <w:sz w:val="22"/>
          <w:szCs w:val="22"/>
        </w:rPr>
        <w:t xml:space="preserve"> ve Diğer Alacakların Niteliklerinin Belirlenmesi ve Bunlar için Ayrılacak Karşılıklara İlişkin Usul ve Esaslar Hakkında Yönetmelik” ve diğer tebliğ ve genelgeler doğrultusunda </w:t>
      </w:r>
      <w:r>
        <w:rPr>
          <w:sz w:val="22"/>
          <w:szCs w:val="22"/>
        </w:rPr>
        <w:t xml:space="preserve">sınıflandırılmaktadır. Donuk alacak hesaplarına intikal eden nakdi krediler için, teminatların dikkate alınma oranları uygulanmak suretiyle bulunan teminat tutarı takip risk bakiyesinden düşülmekte, kalan tutar için </w:t>
      </w:r>
      <w:r>
        <w:rPr>
          <w:sz w:val="22"/>
          <w:szCs w:val="22"/>
        </w:rPr>
        <w:t>yönetmelikte belirlenen</w:t>
      </w:r>
      <w:r>
        <w:rPr>
          <w:sz w:val="22"/>
          <w:szCs w:val="22"/>
        </w:rPr>
        <w:t xml:space="preserve"> oranlar dikkate alınarak </w:t>
      </w:r>
      <w:r>
        <w:rPr>
          <w:sz w:val="22"/>
          <w:szCs w:val="22"/>
        </w:rPr>
        <w:t>özel karşılık ayrılmaktadır.</w:t>
      </w:r>
      <w:r>
        <w:rPr>
          <w:sz w:val="22"/>
          <w:szCs w:val="22"/>
        </w:rPr>
        <w:t xml:space="preserve"> Özel karşılıklar dışında, Banka ilgili yönetmelik hükümleri çerçevesinde kredi ve diğer alacaklar için genel kredi karşılığı ayırmaktadır.</w:t>
      </w:r>
    </w:p>
    <w:p>
      <w:pPr>
        <w:pStyle w:val="1tipi"/>
        <w:tabs>
          <w:tab w:val="clear" w:pos="1134"/>
          <w:tab w:val="left" w:pos="567"/>
        </w:tabs>
        <w:rPr>
          <w:rFonts w:ascii="Times New Roman" w:hAnsi="Times New Roman" w:cs="Times New Roman"/>
          <w:bCs/>
          <w:sz w:val="22"/>
          <w:szCs w:val="22"/>
          <w:lang w:val="tr-TR"/>
        </w:rPr>
      </w:pPr>
    </w:p>
    <w:p>
      <w:pPr>
        <w:pStyle w:val="1tipi"/>
        <w:tabs>
          <w:tab w:val="clear" w:pos="1134"/>
          <w:tab w:val="left" w:pos="567"/>
        </w:tabs>
        <w:rPr>
          <w:rFonts w:ascii="Times New Roman" w:hAnsi="Times New Roman" w:cs="Times New Roman"/>
          <w:sz w:val="22"/>
          <w:szCs w:val="22"/>
          <w:lang w:val="tr-TR"/>
        </w:rPr>
      </w:pPr>
      <w:r>
        <w:rPr>
          <w:rFonts w:ascii="Times New Roman" w:hAnsi="Times New Roman" w:cs="Times New Roman"/>
          <w:b/>
          <w:bCs/>
          <w:sz w:val="22"/>
          <w:szCs w:val="22"/>
          <w:lang w:val="tr-TR"/>
        </w:rPr>
        <w:t>VIII</w:t>
      </w:r>
      <w:r>
        <w:rPr>
          <w:rFonts w:ascii="Times New Roman" w:hAnsi="Times New Roman" w:cs="Times New Roman"/>
          <w:sz w:val="22"/>
          <w:szCs w:val="22"/>
          <w:lang w:val="tr-TR"/>
        </w:rPr>
        <w:t>-</w:t>
      </w:r>
      <w:r>
        <w:rPr>
          <w:rFonts w:ascii="Times New Roman" w:hAnsi="Times New Roman" w:cs="Times New Roman"/>
          <w:sz w:val="22"/>
          <w:szCs w:val="22"/>
          <w:lang w:val="tr-TR"/>
        </w:rPr>
        <w:tab/>
      </w:r>
      <w:r>
        <w:rPr>
          <w:rFonts w:ascii="Times New Roman" w:hAnsi="Times New Roman" w:cs="Times New Roman"/>
          <w:b/>
          <w:bCs/>
          <w:sz w:val="22"/>
          <w:szCs w:val="22"/>
          <w:lang w:val="tr-TR"/>
        </w:rPr>
        <w:t>Finansal araçların netleştirilmesine ilişkin açıklamalar</w:t>
      </w:r>
      <w:r>
        <w:rPr>
          <w:rFonts w:ascii="Times New Roman" w:hAnsi="Times New Roman" w:cs="Times New Roman"/>
          <w:sz w:val="22"/>
          <w:szCs w:val="22"/>
          <w:lang w:val="tr-TR"/>
        </w:rPr>
        <w:t>:</w:t>
      </w:r>
    </w:p>
    <w:p>
      <w:pPr>
        <w:ind w:left="567" w:hanging="567"/>
        <w:jc w:val="both"/>
        <w:rPr>
          <w:b/>
          <w:bCs/>
          <w:sz w:val="22"/>
          <w:szCs w:val="22"/>
        </w:rPr>
      </w:pPr>
    </w:p>
    <w:p>
      <w:pPr>
        <w:ind w:left="567"/>
        <w:jc w:val="both"/>
        <w:rPr>
          <w:sz w:val="22"/>
          <w:szCs w:val="22"/>
        </w:rPr>
      </w:pPr>
      <w:r>
        <w:rPr>
          <w:sz w:val="22"/>
          <w:szCs w:val="22"/>
        </w:rPr>
        <w:t xml:space="preserve">Finansal varlıklar ve </w:t>
      </w:r>
      <w:r>
        <w:rPr>
          <w:sz w:val="22"/>
          <w:szCs w:val="22"/>
        </w:rPr>
        <w:t>yükümlülükler</w:t>
      </w:r>
      <w:r>
        <w:rPr>
          <w:sz w:val="22"/>
          <w:szCs w:val="22"/>
        </w:rPr>
        <w:t>, Banka’nın netleştirmeye yönelik yasal bir hakka ve yaptırım gücüne sahip olması ve ilgili finansal aktif ve pasifi net tutarları üzerinden tahsil etme/ödeme niyetinde olması, veya ilgili finansal varlığı ve borcu eş</w:t>
      </w:r>
      <w:r>
        <w:rPr>
          <w:sz w:val="22"/>
          <w:szCs w:val="22"/>
        </w:rPr>
        <w:t xml:space="preserve"> </w:t>
      </w:r>
      <w:r>
        <w:rPr>
          <w:sz w:val="22"/>
          <w:szCs w:val="22"/>
        </w:rPr>
        <w:t xml:space="preserve">zamanlı olarak sonuçlandırma hakkına sahip olması durumlarında bilançoda net tutarları üzerinden gösterilmektedir. </w:t>
      </w:r>
    </w:p>
    <w:p>
      <w:pPr>
        <w:tabs>
          <w:tab w:val="left" w:pos="567"/>
        </w:tabs>
        <w:jc w:val="both"/>
        <w:rPr>
          <w:b/>
          <w:bCs/>
          <w:sz w:val="22"/>
          <w:szCs w:val="22"/>
        </w:rPr>
      </w:pPr>
    </w:p>
    <w:p>
      <w:pPr>
        <w:tabs>
          <w:tab w:val="left" w:pos="567"/>
        </w:tabs>
        <w:ind w:left="567" w:hanging="567"/>
        <w:jc w:val="both"/>
        <w:rPr>
          <w:b/>
          <w:bCs/>
          <w:sz w:val="22"/>
          <w:szCs w:val="22"/>
        </w:rPr>
      </w:pPr>
      <w:r>
        <w:rPr>
          <w:b/>
          <w:bCs/>
          <w:sz w:val="22"/>
          <w:szCs w:val="22"/>
        </w:rPr>
        <w:t>IX-</w:t>
      </w:r>
      <w:r>
        <w:rPr>
          <w:b/>
          <w:bCs/>
          <w:sz w:val="22"/>
          <w:szCs w:val="22"/>
        </w:rPr>
        <w:tab/>
      </w:r>
      <w:r>
        <w:rPr>
          <w:b/>
          <w:bCs/>
          <w:sz w:val="22"/>
          <w:szCs w:val="22"/>
        </w:rPr>
        <w:t xml:space="preserve">Satış ve geri alış anlaşmaları ve menkul değerlerin ödünç verilmesi işlemlerine </w:t>
      </w:r>
      <w:r>
        <w:rPr>
          <w:b/>
          <w:bCs/>
          <w:sz w:val="22"/>
          <w:szCs w:val="22"/>
        </w:rPr>
        <w:t>ilişkin açıklamalar:</w:t>
      </w:r>
    </w:p>
    <w:p>
      <w:pPr>
        <w:ind w:left="567"/>
        <w:jc w:val="right"/>
        <w:rPr>
          <w:b/>
          <w:bCs/>
          <w:sz w:val="22"/>
          <w:szCs w:val="22"/>
        </w:rPr>
      </w:pPr>
    </w:p>
    <w:p>
      <w:pPr>
        <w:ind w:left="567"/>
        <w:jc w:val="both"/>
        <w:rPr>
          <w:sz w:val="22"/>
          <w:szCs w:val="22"/>
        </w:rPr>
      </w:pPr>
      <w:r>
        <w:rPr>
          <w:sz w:val="22"/>
          <w:szCs w:val="22"/>
        </w:rPr>
        <w:t>Tekrar geri alım anlaşmaları çerçevesinde satılan menkul kıymetler (repo), Tek Düzen Hesap Planına uygun olarak bilanço hesaplarında takip edilmektedir. Buna gö</w:t>
      </w:r>
      <w:r>
        <w:rPr>
          <w:sz w:val="22"/>
          <w:szCs w:val="22"/>
        </w:rPr>
        <w:t xml:space="preserve">re, repo anlaşması çerçevesinde </w:t>
      </w:r>
      <w:r>
        <w:rPr>
          <w:sz w:val="22"/>
          <w:szCs w:val="22"/>
        </w:rPr>
        <w:t>müşterilere satılan devlet tahvili ve hazine bonoları ilgili menkul değer hesapları altında “Repoya Konu Edilenler” olarak sınıflandırılmakta ve Banka portföyünde tutuluş amaçlarına göre rayiç değerleri veya iç verim oranına göre iskonto edilmiş bedelleri ile değerlenmektedir. Repo işlemlerinden elde edilen</w:t>
      </w:r>
      <w:r>
        <w:rPr>
          <w:sz w:val="22"/>
          <w:szCs w:val="22"/>
        </w:rPr>
        <w:t xml:space="preserve"> </w:t>
      </w:r>
      <w:r>
        <w:rPr>
          <w:sz w:val="22"/>
          <w:szCs w:val="22"/>
        </w:rPr>
        <w:t>fonlar ise pasif hesaplarda ayrı bir kalem olarak yansıtılmakta ve faiz gideri için reeskont kaydedilmektedir.</w:t>
      </w:r>
      <w:r>
        <w:rPr>
          <w:sz w:val="22"/>
          <w:szCs w:val="22"/>
        </w:rPr>
        <w:t xml:space="preserve"> </w:t>
      </w:r>
    </w:p>
    <w:p>
      <w:pPr>
        <w:ind w:left="567"/>
        <w:jc w:val="both"/>
        <w:rPr>
          <w:sz w:val="22"/>
          <w:szCs w:val="22"/>
        </w:rPr>
      </w:pPr>
    </w:p>
    <w:p>
      <w:pPr>
        <w:ind w:left="567"/>
        <w:jc w:val="both"/>
        <w:rPr>
          <w:sz w:val="22"/>
          <w:szCs w:val="22"/>
        </w:rPr>
      </w:pPr>
      <w:r>
        <w:rPr>
          <w:sz w:val="22"/>
          <w:szCs w:val="22"/>
        </w:rPr>
        <w:t>Geri satım taahhüdü ile alınmış menkul kıymetler (ters repo) ise “Para Piyasaları</w:t>
      </w:r>
      <w:r>
        <w:rPr>
          <w:sz w:val="22"/>
          <w:szCs w:val="22"/>
        </w:rPr>
        <w:t>ndan Alacaklar</w:t>
      </w:r>
      <w:r>
        <w:rPr>
          <w:sz w:val="22"/>
          <w:szCs w:val="22"/>
        </w:rPr>
        <w:t>”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bulunmamaktadır.</w:t>
      </w:r>
    </w:p>
    <w:p>
      <w:pPr>
        <w:jc w:val="both"/>
        <w:rPr>
          <w:sz w:val="22"/>
          <w:szCs w:val="22"/>
        </w:rPr>
      </w:pPr>
    </w:p>
    <w:p>
      <w:pPr>
        <w:tabs>
          <w:tab w:val="left" w:pos="567"/>
        </w:tabs>
        <w:ind w:left="567" w:hanging="567"/>
        <w:jc w:val="both"/>
        <w:rPr>
          <w:b/>
          <w:sz w:val="22"/>
          <w:szCs w:val="22"/>
        </w:rPr>
      </w:pPr>
      <w:r>
        <w:rPr>
          <w:b/>
          <w:sz w:val="22"/>
          <w:szCs w:val="22"/>
        </w:rPr>
        <w:t>X-</w:t>
      </w:r>
      <w:r>
        <w:rPr>
          <w:b/>
          <w:sz w:val="22"/>
          <w:szCs w:val="22"/>
        </w:rPr>
        <w:tab/>
        <w:t>Satış amaçlı elde tutulan ve durdurulan faaliyetlere ilişkin duran varlıklar ile bunlara ilişkin borçlar hakkında açıklamalar:</w:t>
      </w:r>
    </w:p>
    <w:p>
      <w:pPr>
        <w:autoSpaceDE w:val="0"/>
        <w:autoSpaceDN w:val="0"/>
        <w:ind w:left="567"/>
        <w:rPr>
          <w:rFonts w:ascii="TimesNewRomanPSMT" w:hAnsi="TimesNewRomanPSMT"/>
        </w:rPr>
      </w:pPr>
    </w:p>
    <w:p>
      <w:pPr>
        <w:autoSpaceDE w:val="0"/>
        <w:autoSpaceDN w:val="0"/>
        <w:ind w:left="567"/>
        <w:jc w:val="both"/>
        <w:rPr>
          <w:rFonts w:ascii="TimesNewRomanPSMT" w:hAnsi="TimesNewRomanPSMT"/>
          <w:sz w:val="22"/>
          <w:szCs w:val="22"/>
        </w:rPr>
      </w:pPr>
      <w:r>
        <w:rPr>
          <w:rFonts w:ascii="TimesNewRomanPSMT" w:hAnsi="TimesNewRomanPSMT"/>
          <w:sz w:val="22"/>
          <w:szCs w:val="22"/>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Banka’nın satış amaçlı elde tutulan duran varlığı bulunmamaktadır. </w:t>
      </w:r>
      <w:r>
        <w:rPr>
          <w:rFonts w:ascii="TimesNewRomanPSMT" w:hAnsi="TimesNewRomanPSMT"/>
          <w:sz w:val="22"/>
          <w:szCs w:val="22"/>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w:t>
      </w:r>
    </w:p>
    <w:p>
      <w:pPr>
        <w:autoSpaceDE w:val="0"/>
        <w:autoSpaceDN w:val="0"/>
        <w:ind w:left="567"/>
        <w:jc w:val="both"/>
        <w:rPr>
          <w:rFonts w:ascii="TimesNewRomanPSMT" w:hAnsi="TimesNewRomanPSMT"/>
          <w:sz w:val="22"/>
          <w:szCs w:val="22"/>
        </w:rPr>
      </w:pPr>
    </w:p>
    <w:p>
      <w:pPr>
        <w:autoSpaceDE w:val="0"/>
        <w:autoSpaceDN w:val="0"/>
        <w:ind w:left="567"/>
        <w:jc w:val="both"/>
        <w:rPr>
          <w:rFonts w:ascii="TimesNewRomanPSMT" w:hAnsi="TimesNewRomanPSMT"/>
          <w:sz w:val="22"/>
          <w:szCs w:val="22"/>
        </w:rPr>
      </w:pPr>
      <w:r>
        <w:rPr>
          <w:rFonts w:ascii="TimesNewRomanPSMT" w:hAnsi="TimesNewRomanPSMT"/>
          <w:sz w:val="22"/>
          <w:szCs w:val="22"/>
        </w:rPr>
        <w:t>Durdurulan bir faaliyet, Banka’nın elden çıkarılan veya satış amacıyla elde tut</w:t>
      </w:r>
      <w:r>
        <w:rPr>
          <w:rFonts w:ascii="TimesNewRomanPSMT" w:hAnsi="TimesNewRomanPSMT"/>
          <w:sz w:val="22"/>
          <w:szCs w:val="22"/>
        </w:rPr>
        <w:t xml:space="preserve">ulan olarak sınıflandırılan </w:t>
      </w:r>
      <w:r>
        <w:rPr>
          <w:rFonts w:ascii="TimesNewRomanPSMT" w:hAnsi="TimesNewRomanPSMT"/>
          <w:sz w:val="22"/>
          <w:szCs w:val="22"/>
        </w:rPr>
        <w:t>bölümüdür. Durdurulan faaliyetlere ilişkin sonuçlar gelir tablosunda ayrı olarak sunulur. Banka’nın durdurulan faaliyeti bulunmamaktadır.</w:t>
      </w:r>
    </w:p>
    <w:p>
      <w:pPr>
        <w:tabs>
          <w:tab w:val="left" w:pos="567"/>
        </w:tabs>
        <w:ind w:left="567" w:hanging="567"/>
        <w:jc w:val="both"/>
        <w:rPr>
          <w:b/>
          <w:bCs/>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sz w:val="22"/>
          <w:szCs w:val="22"/>
        </w:rPr>
      </w:pPr>
      <w:r>
        <w:rPr>
          <w:b/>
          <w:bCs/>
          <w:sz w:val="22"/>
          <w:szCs w:val="22"/>
        </w:rPr>
        <w:t>X</w:t>
      </w:r>
      <w:r>
        <w:rPr>
          <w:b/>
          <w:bCs/>
          <w:sz w:val="22"/>
          <w:szCs w:val="22"/>
        </w:rPr>
        <w:t>I</w:t>
      </w:r>
      <w:r>
        <w:rPr>
          <w:b/>
          <w:bCs/>
          <w:sz w:val="22"/>
          <w:szCs w:val="22"/>
        </w:rPr>
        <w:t>-</w:t>
      </w:r>
      <w:r>
        <w:rPr>
          <w:b/>
          <w:bCs/>
          <w:sz w:val="22"/>
          <w:szCs w:val="22"/>
        </w:rPr>
        <w:tab/>
      </w:r>
      <w:r>
        <w:rPr>
          <w:b/>
          <w:bCs/>
          <w:sz w:val="22"/>
          <w:szCs w:val="22"/>
        </w:rPr>
        <w:t>Şerefiye ve diğer maddi olmayan duran varlıklara ilişkin açıklamalar:</w:t>
      </w:r>
    </w:p>
    <w:p>
      <w:pPr>
        <w:ind w:left="567"/>
        <w:jc w:val="both"/>
        <w:rPr>
          <w:sz w:val="22"/>
          <w:szCs w:val="22"/>
        </w:rPr>
      </w:pPr>
    </w:p>
    <w:p>
      <w:pPr>
        <w:ind w:left="567"/>
        <w:jc w:val="both"/>
        <w:rPr>
          <w:sz w:val="22"/>
          <w:szCs w:val="22"/>
          <w:lang w:eastAsia="en-US"/>
        </w:rPr>
      </w:pPr>
      <w:r>
        <w:rPr>
          <w:sz w:val="22"/>
          <w:szCs w:val="22"/>
          <w:lang w:eastAsia="en-US"/>
        </w:rPr>
        <w:t xml:space="preserve">Bilanço tarihleri itibarıyla ilişikteki </w:t>
      </w:r>
      <w:r>
        <w:rPr>
          <w:sz w:val="22"/>
          <w:szCs w:val="22"/>
          <w:lang w:eastAsia="en-US"/>
        </w:rPr>
        <w:t xml:space="preserve">konsolide olmayan </w:t>
      </w:r>
      <w:r>
        <w:rPr>
          <w:sz w:val="22"/>
          <w:szCs w:val="22"/>
          <w:lang w:eastAsia="en-US"/>
        </w:rPr>
        <w:t>finansal tablolarda şerefiy</w:t>
      </w:r>
      <w:r>
        <w:rPr>
          <w:sz w:val="22"/>
          <w:szCs w:val="22"/>
          <w:lang w:eastAsia="en-US"/>
        </w:rPr>
        <w:t>e</w:t>
      </w:r>
      <w:r>
        <w:rPr>
          <w:sz w:val="22"/>
          <w:szCs w:val="22"/>
          <w:lang w:eastAsia="en-US"/>
        </w:rPr>
        <w:t xml:space="preserve"> bulunmamaktadır.</w:t>
      </w:r>
      <w:r>
        <w:rPr>
          <w:sz w:val="22"/>
          <w:szCs w:val="22"/>
          <w:lang w:eastAsia="en-US"/>
        </w:rPr>
        <w:t xml:space="preserve"> </w:t>
      </w:r>
      <w:r>
        <w:rPr>
          <w:sz w:val="22"/>
          <w:szCs w:val="22"/>
          <w:lang w:eastAsia="en-US"/>
        </w:rPr>
        <w:t xml:space="preserve">  </w:t>
      </w:r>
    </w:p>
    <w:p>
      <w:pPr>
        <w:jc w:val="both"/>
        <w:rPr>
          <w:sz w:val="22"/>
          <w:szCs w:val="22"/>
          <w:lang w:eastAsia="en-US"/>
        </w:rPr>
      </w:pPr>
    </w:p>
    <w:p>
      <w:pPr>
        <w:ind w:left="567"/>
        <w:jc w:val="both"/>
        <w:rPr>
          <w:sz w:val="22"/>
          <w:szCs w:val="22"/>
          <w:lang w:eastAsia="en-US"/>
        </w:rPr>
      </w:pPr>
      <w:r>
        <w:rPr>
          <w:sz w:val="22"/>
          <w:szCs w:val="22"/>
          <w:lang w:eastAsia="en-US"/>
        </w:rPr>
        <w:t xml:space="preserve">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w:t>
      </w:r>
      <w:r>
        <w:rPr>
          <w:sz w:val="22"/>
          <w:szCs w:val="22"/>
          <w:lang w:eastAsia="en-US"/>
        </w:rPr>
        <w:t>finansal tablolarda gösterilmektedir.</w:t>
      </w:r>
    </w:p>
    <w:p>
      <w:pPr>
        <w:ind w:left="567"/>
        <w:jc w:val="both"/>
        <w:rPr>
          <w:sz w:val="22"/>
          <w:szCs w:val="22"/>
          <w:lang w:eastAsia="en-US"/>
        </w:rPr>
      </w:pPr>
    </w:p>
    <w:p>
      <w:pPr>
        <w:ind w:left="567"/>
        <w:jc w:val="both"/>
        <w:rPr>
          <w:sz w:val="2"/>
          <w:szCs w:val="2"/>
          <w:lang w:eastAsia="en-US"/>
        </w:rPr>
      </w:pPr>
    </w:p>
    <w:p>
      <w:pPr>
        <w:ind w:left="567"/>
        <w:jc w:val="both"/>
        <w:rPr>
          <w:sz w:val="22"/>
          <w:szCs w:val="22"/>
          <w:lang w:eastAsia="en-US"/>
        </w:rPr>
      </w:pPr>
      <w:r>
        <w:rPr>
          <w:sz w:val="22"/>
          <w:szCs w:val="22"/>
          <w:lang w:eastAsia="en-US"/>
        </w:rPr>
        <w:t>Maddi olmayan duran varlıklar, bu varlıkların tahm</w:t>
      </w:r>
      <w:r>
        <w:rPr>
          <w:sz w:val="22"/>
          <w:szCs w:val="22"/>
          <w:lang w:eastAsia="en-US"/>
        </w:rPr>
        <w:t>ini faydalı ömürlerine göre %</w:t>
      </w:r>
      <w:r>
        <w:rPr>
          <w:sz w:val="22"/>
          <w:szCs w:val="22"/>
          <w:lang w:eastAsia="en-US"/>
        </w:rPr>
        <w:t>33,</w:t>
      </w:r>
      <w:r>
        <w:rPr>
          <w:sz w:val="22"/>
          <w:szCs w:val="22"/>
          <w:lang w:eastAsia="en-US"/>
        </w:rPr>
        <w:t>33</w:t>
      </w:r>
      <w:r>
        <w:rPr>
          <w:sz w:val="22"/>
          <w:szCs w:val="22"/>
          <w:lang w:eastAsia="en-US"/>
        </w:rPr>
        <w:t xml:space="preserve"> olarak</w:t>
      </w:r>
      <w:r>
        <w:rPr>
          <w:sz w:val="22"/>
          <w:szCs w:val="22"/>
          <w:lang w:eastAsia="en-US"/>
        </w:rPr>
        <w:t xml:space="preserve"> belirlenen </w:t>
      </w:r>
      <w:r>
        <w:rPr>
          <w:sz w:val="22"/>
          <w:szCs w:val="22"/>
          <w:lang w:eastAsia="en-US"/>
        </w:rPr>
        <w:t>amortisman</w:t>
      </w:r>
      <w:r>
        <w:rPr>
          <w:sz w:val="22"/>
          <w:szCs w:val="22"/>
          <w:lang w:eastAsia="en-US"/>
        </w:rPr>
        <w:t xml:space="preserve"> oranı ile doğrusal amortisman yöntemi kullanılarak itfa edilmektedir. Varlığın faydalı ömrünün tespiti, varlığın beklenen kullanım süresi,</w:t>
      </w:r>
      <w:r>
        <w:rPr>
          <w:sz w:val="22"/>
          <w:szCs w:val="22"/>
          <w:lang w:eastAsia="en-US"/>
        </w:rPr>
        <w:t xml:space="preserve"> </w:t>
      </w:r>
      <w:r>
        <w:rPr>
          <w:sz w:val="22"/>
          <w:szCs w:val="22"/>
          <w:lang w:eastAsia="en-US"/>
        </w:rPr>
        <w:t xml:space="preserve">teknik, teknolojik veya diğer türdeki eskime ve varlıktan beklenen ekonomik faydayı elde etmek için gerekli olan bakım masrafları gibi hususların değerlendirilmesi suretiyle yapılmıştır. </w:t>
      </w:r>
    </w:p>
    <w:p>
      <w:pPr>
        <w:jc w:val="both"/>
        <w:rPr>
          <w:sz w:val="22"/>
          <w:szCs w:val="22"/>
          <w:lang w:eastAsia="en-US"/>
        </w:rPr>
      </w:pPr>
    </w:p>
    <w:p>
      <w:pPr>
        <w:ind w:left="567"/>
        <w:jc w:val="both"/>
        <w:rPr>
          <w:sz w:val="22"/>
          <w:szCs w:val="22"/>
          <w:lang w:eastAsia="en-US"/>
        </w:rPr>
      </w:pPr>
      <w:r>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ilgili varlığın kalan yararlı ömrü boyunca “Doğrusal </w:t>
      </w:r>
      <w:r>
        <w:rPr>
          <w:sz w:val="22"/>
          <w:szCs w:val="22"/>
          <w:lang w:eastAsia="en-US"/>
        </w:rPr>
        <w:t>amortisman</w:t>
      </w:r>
      <w:r>
        <w:rPr>
          <w:sz w:val="22"/>
          <w:szCs w:val="22"/>
          <w:lang w:eastAsia="en-US"/>
        </w:rPr>
        <w:t xml:space="preserve"> yöntemi” </w:t>
      </w:r>
      <w:r>
        <w:rPr>
          <w:sz w:val="22"/>
          <w:szCs w:val="22"/>
          <w:lang w:eastAsia="en-US"/>
        </w:rPr>
        <w:t>kullanılarak</w:t>
      </w:r>
      <w:r>
        <w:rPr>
          <w:sz w:val="22"/>
          <w:szCs w:val="22"/>
          <w:lang w:eastAsia="en-US"/>
        </w:rPr>
        <w:t xml:space="preserve"> itfa edilmektedir.</w:t>
      </w:r>
    </w:p>
    <w:p>
      <w:pPr>
        <w:ind w:left="567"/>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r>
      <w:r>
        <w:rPr>
          <w:b/>
          <w:bCs/>
          <w:sz w:val="22"/>
          <w:szCs w:val="22"/>
        </w:rPr>
        <w:t xml:space="preserve">Maddi duran varlıklara ilişkin açıklamalar: </w:t>
      </w:r>
    </w:p>
    <w:p>
      <w:pPr>
        <w:pStyle w:val="Body"/>
        <w:keepLines w:val="0"/>
        <w:widowControl w:val="0"/>
        <w:suppressAutoHyphens/>
        <w:spacing w:after="0" w:line="228" w:lineRule="auto"/>
        <w:ind w:left="851" w:right="-1"/>
        <w:rPr>
          <w:rFonts w:ascii="Times New Roman" w:hAnsi="Times New Roman" w:cs="Times New Roman"/>
          <w:lang w:val="tr-TR"/>
        </w:rPr>
      </w:pPr>
    </w:p>
    <w:p>
      <w:pPr>
        <w:ind w:left="567"/>
        <w:jc w:val="both"/>
        <w:rPr>
          <w:sz w:val="22"/>
          <w:szCs w:val="22"/>
        </w:rPr>
      </w:pPr>
      <w:r>
        <w:rPr>
          <w:sz w:val="22"/>
          <w:szCs w:val="22"/>
        </w:rPr>
        <w:t>Maddi duran varlıkların ilk kayıtları elde etme tutarları ve varlığın kullanılabilir hale getirilebilmesi için gerekli diğer doğrudan giderlerin ilavesi suretiyle bulunmuş maliy</w:t>
      </w:r>
      <w:r>
        <w:rPr>
          <w:sz w:val="22"/>
          <w:szCs w:val="22"/>
        </w:rPr>
        <w:t>et bedeli üzerinden yapılmakta ve ekspertiz sonuçlarının maliyet bedellerinin üstünde olması durumunda herhangi bir yeniden değerleme işlemine tabi tutulmamaktadır.</w:t>
      </w:r>
      <w:r>
        <w:rPr>
          <w:sz w:val="22"/>
          <w:szCs w:val="22"/>
        </w:rPr>
        <w:t xml:space="preserve"> Maddi duran varlıklar, kayda alınmalarını izleyen dönemde maliyet bedelinden birikmiş amortismanların ve varsa birikmiş değer azalışlarının düşülmesinden sonra kalan tutarları üzerinden </w:t>
      </w:r>
      <w:r>
        <w:rPr>
          <w:sz w:val="22"/>
          <w:szCs w:val="22"/>
        </w:rPr>
        <w:t>finansal tablolarda gösterilmektedir.</w:t>
      </w:r>
      <w:r>
        <w:rPr>
          <w:sz w:val="22"/>
          <w:szCs w:val="22"/>
        </w:rPr>
        <w:t xml:space="preserve">  </w:t>
      </w:r>
    </w:p>
    <w:p>
      <w:pPr>
        <w:jc w:val="both"/>
        <w:rPr>
          <w:sz w:val="22"/>
          <w:szCs w:val="22"/>
        </w:rPr>
      </w:pPr>
    </w:p>
    <w:p>
      <w:pPr>
        <w:ind w:left="567"/>
        <w:jc w:val="both"/>
        <w:rPr>
          <w:sz w:val="22"/>
          <w:szCs w:val="22"/>
          <w:shd w:val="clear" w:color="auto" w:fill="FFFFFF"/>
        </w:rPr>
      </w:pPr>
      <w:r>
        <w:rPr>
          <w:sz w:val="22"/>
          <w:szCs w:val="22"/>
        </w:rPr>
        <w:t>Banka, 1 Ocak 2005 tarihinden önce satın alınan maddi duran varlıklarını 31 Aralık 2004 tarihi itibarıyla enflasyon etkilerine göre düzeltilmiş maliyet bedelleri ile bilançosunda göstermiş, izleyen dönemlerd</w:t>
      </w:r>
      <w:r>
        <w:rPr>
          <w:sz w:val="22"/>
          <w:szCs w:val="22"/>
        </w:rPr>
        <w:t>e edindiği maddi duran varlıkla</w:t>
      </w:r>
      <w:r>
        <w:rPr>
          <w:sz w:val="22"/>
          <w:szCs w:val="22"/>
        </w:rPr>
        <w:t>r</w:t>
      </w:r>
      <w:r>
        <w:rPr>
          <w:sz w:val="22"/>
          <w:szCs w:val="22"/>
        </w:rPr>
        <w:t>ı</w:t>
      </w:r>
      <w:r>
        <w:rPr>
          <w:sz w:val="22"/>
          <w:szCs w:val="22"/>
        </w:rPr>
        <w:t>nı ise tarihi maliyet esasıyla değerlemiştir.</w:t>
      </w:r>
    </w:p>
    <w:p>
      <w:pPr>
        <w:jc w:val="both"/>
        <w:rPr>
          <w:sz w:val="22"/>
          <w:szCs w:val="22"/>
        </w:rPr>
      </w:pPr>
    </w:p>
    <w:p>
      <w:pPr>
        <w:ind w:left="567"/>
        <w:jc w:val="both"/>
        <w:rPr>
          <w:sz w:val="22"/>
          <w:szCs w:val="22"/>
        </w:rPr>
      </w:pPr>
      <w:r>
        <w:rPr>
          <w:sz w:val="22"/>
          <w:szCs w:val="22"/>
        </w:rPr>
        <w:t>Maddi duran varlıkların elden çıkartılması ya da bir maddi duran varlığın hizmetten alınması sonucu oluşan k</w:t>
      </w:r>
      <w:r>
        <w:rPr>
          <w:sz w:val="22"/>
          <w:szCs w:val="22"/>
        </w:rPr>
        <w:t>a</w:t>
      </w:r>
      <w:r>
        <w:rPr>
          <w:sz w:val="22"/>
          <w:szCs w:val="22"/>
        </w:rPr>
        <w:t>r ve zararlar</w:t>
      </w:r>
      <w:r>
        <w:rPr>
          <w:sz w:val="22"/>
          <w:szCs w:val="22"/>
        </w:rPr>
        <w:t>, ilgili maddi duran varlığın net</w:t>
      </w:r>
      <w:r>
        <w:rPr>
          <w:sz w:val="22"/>
          <w:szCs w:val="22"/>
        </w:rPr>
        <w:t xml:space="preserve"> satış hasılatı ile </w:t>
      </w:r>
      <w:r>
        <w:rPr>
          <w:sz w:val="22"/>
          <w:szCs w:val="22"/>
        </w:rPr>
        <w:t>net</w:t>
      </w:r>
      <w:r>
        <w:rPr>
          <w:sz w:val="22"/>
          <w:szCs w:val="22"/>
        </w:rPr>
        <w:t xml:space="preserve"> defter değeri arasındaki fark olarak belirlenerek, gelir</w:t>
      </w:r>
      <w:r>
        <w:rPr>
          <w:sz w:val="22"/>
          <w:szCs w:val="22"/>
        </w:rPr>
        <w:t xml:space="preserve"> </w:t>
      </w:r>
      <w:r>
        <w:rPr>
          <w:sz w:val="22"/>
          <w:szCs w:val="22"/>
        </w:rPr>
        <w:t>tablosuna dahil edilir.</w:t>
      </w:r>
    </w:p>
    <w:p>
      <w:pPr>
        <w:ind w:left="567"/>
        <w:jc w:val="both"/>
        <w:rPr>
          <w:sz w:val="22"/>
          <w:szCs w:val="22"/>
        </w:rPr>
      </w:pPr>
    </w:p>
    <w:p>
      <w:pPr>
        <w:ind w:left="567"/>
        <w:jc w:val="both"/>
        <w:rPr>
          <w:sz w:val="22"/>
          <w:szCs w:val="22"/>
        </w:rPr>
      </w:pPr>
      <w:r>
        <w:rPr>
          <w:sz w:val="22"/>
          <w:szCs w:val="22"/>
        </w:rPr>
        <w:t>Maddi duran</w:t>
      </w:r>
      <w:r>
        <w:rPr>
          <w:sz w:val="22"/>
          <w:szCs w:val="22"/>
        </w:rPr>
        <w:t xml:space="preserve"> </w:t>
      </w:r>
      <w:r>
        <w:rPr>
          <w:sz w:val="22"/>
          <w:szCs w:val="22"/>
        </w:rPr>
        <w:t>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r>
        <w:rPr>
          <w:sz w:val="22"/>
          <w:szCs w:val="22"/>
        </w:rPr>
        <w:t xml:space="preserve">. </w:t>
      </w:r>
      <w:r>
        <w:rPr>
          <w:sz w:val="22"/>
          <w:szCs w:val="22"/>
        </w:rPr>
        <w:t>Yatırım harcamaları, varlığın faydalı ömrünü uzatan, varlığın hizmet kapasitesini artıran, üretilen mal veya hizmetin kalitesini artıran veya maliyetini azaltan giderler gibi maliyet unsurlarından oluşmaktadır.</w:t>
      </w:r>
    </w:p>
    <w:p>
      <w:pPr>
        <w:ind w:left="567"/>
        <w:jc w:val="both"/>
        <w:rPr>
          <w:sz w:val="22"/>
          <w:szCs w:val="22"/>
        </w:rPr>
      </w:pPr>
    </w:p>
    <w:p>
      <w:pPr>
        <w:ind w:left="540"/>
        <w:jc w:val="both"/>
        <w:rPr>
          <w:bCs/>
          <w:sz w:val="22"/>
          <w:szCs w:val="22"/>
        </w:rPr>
      </w:pPr>
      <w:r>
        <w:rPr>
          <w:bCs/>
          <w:sz w:val="22"/>
          <w:szCs w:val="22"/>
        </w:rPr>
        <w:t>Maddi duran varlıkların üzerinde rehin, ipotek ve diğer tedbirler veya bunların alımı için verilen taahhütler ya da bunlar üzerindeki tasarruf haklarının kullanılmasını sınırlayan bir husus mevcut değildir.</w:t>
      </w:r>
    </w:p>
    <w:p>
      <w:pPr>
        <w:jc w:val="both"/>
        <w:rPr>
          <w:sz w:val="22"/>
          <w:szCs w:val="22"/>
        </w:rPr>
      </w:pPr>
    </w:p>
    <w:p>
      <w:pPr>
        <w:ind w:left="540"/>
        <w:jc w:val="both"/>
        <w:rPr>
          <w:sz w:val="22"/>
          <w:szCs w:val="22"/>
        </w:rPr>
      </w:pPr>
      <w:r>
        <w:rPr>
          <w:sz w:val="22"/>
          <w:szCs w:val="22"/>
        </w:rPr>
        <w:t>Maddi duran varlıklar, normal amortisman yöntemi ile faydalı ömür esasına göre amortismana tabi tutulmuştur. Maddi duran varlıkların amortismanında kullanılan oranlar aşağıdaki gibidir.</w:t>
      </w:r>
    </w:p>
    <w:p>
      <w:pPr>
        <w:ind w:left="540"/>
        <w:jc w:val="both"/>
        <w:rPr>
          <w:sz w:val="22"/>
          <w:szCs w:val="22"/>
        </w:rPr>
      </w:pPr>
    </w:p>
    <w:tbl>
      <w:tblPr>
        <w:tblW w:w="9214" w:type="dxa"/>
        <w:tblInd w:w="675" w:type="dxa"/>
        <w:tblLook w:val="04A0"/>
      </w:tblPr>
      <w:tblGrid>
        <w:gridCol w:w="4742"/>
        <w:gridCol w:w="4472"/>
      </w:tblGrid>
      <w:tr>
        <w:tc>
          <w:tcPr>
            <w:tcW w:w="4742" w:type="dxa"/>
          </w:tcPr>
          <w:p>
            <w:pPr>
              <w:jc w:val="both"/>
              <w:rPr>
                <w:sz w:val="22"/>
                <w:szCs w:val="22"/>
              </w:rPr>
            </w:pPr>
          </w:p>
        </w:tc>
        <w:tc>
          <w:tcPr>
            <w:tcW w:w="4472" w:type="dxa"/>
          </w:tcPr>
          <w:p>
            <w:pPr>
              <w:jc w:val="both"/>
              <w:rPr>
                <w:sz w:val="22"/>
                <w:szCs w:val="22"/>
                <w:u w:val="single"/>
              </w:rPr>
            </w:pPr>
            <w:r>
              <w:rPr>
                <w:sz w:val="22"/>
                <w:szCs w:val="22"/>
                <w:u w:val="single"/>
              </w:rPr>
              <w:t>Amortisman Oranı</w:t>
            </w:r>
          </w:p>
        </w:tc>
      </w:tr>
      <w:tr>
        <w:tc>
          <w:tcPr>
            <w:tcW w:w="4742" w:type="dxa"/>
          </w:tcPr>
          <w:p>
            <w:pPr>
              <w:jc w:val="both"/>
              <w:rPr>
                <w:sz w:val="22"/>
                <w:szCs w:val="22"/>
              </w:rPr>
            </w:pPr>
            <w:r>
              <w:rPr>
                <w:sz w:val="22"/>
                <w:szCs w:val="22"/>
              </w:rPr>
              <w:t>Binalar</w:t>
            </w:r>
          </w:p>
        </w:tc>
        <w:tc>
          <w:tcPr>
            <w:tcW w:w="4472" w:type="dxa"/>
          </w:tcPr>
          <w:p>
            <w:pPr>
              <w:jc w:val="both"/>
              <w:rPr>
                <w:sz w:val="22"/>
                <w:szCs w:val="22"/>
              </w:rPr>
            </w:pPr>
            <w:r>
              <w:rPr>
                <w:sz w:val="22"/>
                <w:szCs w:val="22"/>
              </w:rPr>
              <w:t>%2</w:t>
            </w:r>
          </w:p>
        </w:tc>
      </w:tr>
      <w:tr>
        <w:tc>
          <w:tcPr>
            <w:tcW w:w="4742" w:type="dxa"/>
          </w:tcPr>
          <w:p>
            <w:pPr>
              <w:jc w:val="both"/>
              <w:rPr>
                <w:sz w:val="22"/>
                <w:szCs w:val="22"/>
              </w:rPr>
            </w:pPr>
            <w:r>
              <w:rPr>
                <w:sz w:val="22"/>
                <w:szCs w:val="22"/>
              </w:rPr>
              <w:t>Araçlar</w:t>
            </w:r>
          </w:p>
        </w:tc>
        <w:tc>
          <w:tcPr>
            <w:tcW w:w="4472" w:type="dxa"/>
          </w:tcPr>
          <w:p>
            <w:pPr>
              <w:jc w:val="both"/>
              <w:rPr>
                <w:sz w:val="22"/>
                <w:szCs w:val="22"/>
              </w:rPr>
            </w:pPr>
            <w:r>
              <w:rPr>
                <w:sz w:val="22"/>
                <w:szCs w:val="22"/>
              </w:rPr>
              <w:t>%20</w:t>
            </w:r>
          </w:p>
        </w:tc>
      </w:tr>
      <w:tr>
        <w:tc>
          <w:tcPr>
            <w:tcW w:w="4742" w:type="dxa"/>
          </w:tcPr>
          <w:p>
            <w:pPr>
              <w:jc w:val="both"/>
            </w:pPr>
            <w:r>
              <w:rPr>
                <w:sz w:val="22"/>
                <w:szCs w:val="22"/>
              </w:rPr>
              <w:t>Diğer Maddi Duran Varlıklar</w:t>
            </w:r>
          </w:p>
        </w:tc>
        <w:tc>
          <w:tcPr>
            <w:tcW w:w="4472" w:type="dxa"/>
          </w:tcPr>
          <w:p>
            <w:pPr>
              <w:jc w:val="both"/>
            </w:pPr>
            <w:r>
              <w:rPr>
                <w:sz w:val="22"/>
                <w:szCs w:val="22"/>
              </w:rPr>
              <w:t>%</w:t>
            </w:r>
            <w:r>
              <w:rPr>
                <w:sz w:val="22"/>
                <w:szCs w:val="22"/>
              </w:rPr>
              <w:t>6</w:t>
            </w:r>
            <w:r>
              <w:rPr>
                <w:sz w:val="22"/>
                <w:szCs w:val="22"/>
              </w:rPr>
              <w:t>.</w:t>
            </w:r>
            <w:r>
              <w:rPr>
                <w:sz w:val="22"/>
                <w:szCs w:val="22"/>
              </w:rPr>
              <w:t xml:space="preserve">66 - </w:t>
            </w:r>
            <w:r>
              <w:rPr>
                <w:sz w:val="22"/>
                <w:szCs w:val="22"/>
              </w:rPr>
              <w:t>%</w:t>
            </w:r>
            <w:r>
              <w:rPr>
                <w:sz w:val="22"/>
                <w:szCs w:val="22"/>
              </w:rPr>
              <w:t>33</w:t>
            </w:r>
            <w:r>
              <w:rPr>
                <w:sz w:val="22"/>
                <w:szCs w:val="22"/>
              </w:rPr>
              <w:t>.</w:t>
            </w:r>
            <w:r>
              <w:rPr>
                <w:sz w:val="22"/>
                <w:szCs w:val="22"/>
              </w:rPr>
              <w:t>33</w:t>
            </w:r>
          </w:p>
        </w:tc>
      </w:tr>
    </w:tbl>
    <w:p>
      <w:pPr>
        <w:ind w:left="540"/>
        <w:jc w:val="both"/>
        <w:rPr>
          <w:sz w:val="22"/>
          <w:szCs w:val="22"/>
        </w:rPr>
      </w:pPr>
    </w:p>
    <w:p>
      <w:pPr>
        <w:tabs>
          <w:tab w:val="left" w:pos="567"/>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t xml:space="preserve">Maddi duran varlıklara ilişkin açıklamalar (devam ediyor): </w:t>
      </w:r>
    </w:p>
    <w:p>
      <w:pPr>
        <w:pStyle w:val="NormalWeb"/>
        <w:spacing w:before="0" w:beforeAutospacing="0" w:after="0" w:afterAutospacing="0"/>
        <w:jc w:val="both"/>
        <w:rPr>
          <w:rFonts w:ascii="Times New Roman" w:cs="Times New Roman"/>
          <w:sz w:val="20"/>
          <w:szCs w:val="20"/>
          <w:lang w:val="tr-TR"/>
        </w:rPr>
      </w:pPr>
    </w:p>
    <w:p>
      <w:pPr>
        <w:pStyle w:val="NormalWeb"/>
        <w:spacing w:before="0" w:beforeAutospacing="0" w:after="0" w:afterAutospacing="0"/>
        <w:ind w:left="567"/>
        <w:jc w:val="both"/>
        <w:rPr>
          <w:rFonts w:ascii="Times New Roman" w:cs="Times New Roman"/>
          <w:i/>
          <w:iCs/>
          <w:sz w:val="22"/>
          <w:szCs w:val="22"/>
          <w:lang w:val="tr-TR"/>
        </w:rPr>
      </w:pPr>
      <w:r>
        <w:rPr>
          <w:rFonts w:ascii="Times New Roman" w:cs="Times New Roman"/>
          <w:sz w:val="22"/>
          <w:szCs w:val="22"/>
          <w:lang w:val="tr-TR"/>
        </w:rPr>
        <w:t>Muhasebe tahmininde, cari dönemde önemli bir etkisi olan ya da sonraki dönemlerde önemli bir etkisi olması beklenen değişiklik</w:t>
      </w:r>
      <w:r>
        <w:rPr>
          <w:rFonts w:ascii="Times New Roman" w:cs="Times New Roman"/>
          <w:i/>
          <w:iCs/>
          <w:sz w:val="22"/>
          <w:szCs w:val="22"/>
          <w:lang w:val="tr-TR"/>
        </w:rPr>
        <w:t xml:space="preserve"> </w:t>
      </w:r>
      <w:r>
        <w:rPr>
          <w:rFonts w:ascii="Times New Roman" w:cs="Times New Roman"/>
          <w:sz w:val="22"/>
          <w:szCs w:val="22"/>
          <w:lang w:val="tr-TR"/>
        </w:rPr>
        <w:t>bulunmamaktadır.</w:t>
      </w:r>
      <w:r>
        <w:rPr>
          <w:rFonts w:ascii="Times New Roman" w:cs="Times New Roman"/>
          <w:i/>
          <w:iCs/>
          <w:sz w:val="22"/>
          <w:szCs w:val="22"/>
          <w:lang w:val="tr-TR"/>
        </w:rPr>
        <w:t xml:space="preserve"> </w:t>
      </w:r>
    </w:p>
    <w:p>
      <w:pPr>
        <w:ind w:left="540"/>
        <w:jc w:val="both"/>
        <w:rPr>
          <w:rFonts w:eastAsia="Arial Unicode MS"/>
          <w:bCs/>
          <w:sz w:val="20"/>
          <w:szCs w:val="20"/>
        </w:rPr>
      </w:pPr>
    </w:p>
    <w:p>
      <w:pPr>
        <w:ind w:left="540"/>
        <w:jc w:val="both"/>
        <w:rPr>
          <w:rFonts w:eastAsia="Arial Unicode MS"/>
          <w:bCs/>
          <w:sz w:val="22"/>
          <w:szCs w:val="22"/>
        </w:rPr>
      </w:pPr>
      <w:r>
        <w:rPr>
          <w:rFonts w:eastAsia="Arial Unicode MS"/>
          <w:bCs/>
          <w:sz w:val="22"/>
          <w:szCs w:val="22"/>
        </w:rPr>
        <w:t>Banka’nın durdurulan faaliyeti bulunmamakta olup, alacaklarından dolayı edindiği maddi duran varlıklar, finansal tablolarda 1 Kasım 2006 tarih ve 26333 sayılı Resmi Gazete’de yayımlanan “</w:t>
      </w:r>
      <w:hyperlink r:id="rId61" w:tgtFrame="_blank" w:history="1">
        <w:r>
          <w:rPr>
            <w:rFonts w:eastAsia="Arial Unicode MS"/>
            <w:bCs/>
            <w:sz w:val="22"/>
            <w:szCs w:val="22"/>
          </w:rPr>
          <w:t xml:space="preserve">Bankaların Kıymetli Maden Alım Satımına ve Alacaklarından Dolayı Edindikleri Emtia ve Gayrimenkullerin Elden Çıkarılmasına İlişkin Usul ve Esaslar Hakkında Yönetmelik” </w:t>
        </w:r>
      </w:hyperlink>
      <w:r>
        <w:rPr>
          <w:rFonts w:eastAsia="Arial Unicode MS"/>
          <w:bCs/>
          <w:sz w:val="22"/>
          <w:szCs w:val="22"/>
        </w:rPr>
        <w:t xml:space="preserve">hükümlerine uygun olarak muhasebeleştirilmekte, bu varlıklar hiçbir şekil ve suretle değerlemeye tabi tutulmamaktadır. </w:t>
      </w:r>
    </w:p>
    <w:p>
      <w:pPr>
        <w:pStyle w:val="NormalWeb"/>
        <w:spacing w:before="0" w:beforeAutospacing="0" w:after="0" w:afterAutospacing="0"/>
        <w:ind w:left="567"/>
        <w:jc w:val="both"/>
        <w:rPr>
          <w:rFonts w:ascii="Times New Roman" w:cs="Times New Roman"/>
          <w:sz w:val="22"/>
          <w:szCs w:val="22"/>
          <w:lang w:val="tr-TR"/>
        </w:rPr>
      </w:pPr>
    </w:p>
    <w:p>
      <w:pPr>
        <w:ind w:left="567" w:hanging="567"/>
        <w:jc w:val="both"/>
        <w:rPr>
          <w:b/>
          <w:bCs/>
          <w:sz w:val="22"/>
          <w:szCs w:val="22"/>
        </w:rPr>
      </w:pPr>
      <w:r>
        <w:rPr>
          <w:b/>
          <w:bCs/>
          <w:sz w:val="22"/>
          <w:szCs w:val="22"/>
        </w:rPr>
        <w:t>XII</w:t>
      </w:r>
      <w:r>
        <w:rPr>
          <w:b/>
          <w:bCs/>
          <w:sz w:val="22"/>
          <w:szCs w:val="22"/>
        </w:rPr>
        <w:t>I</w:t>
      </w:r>
      <w:r>
        <w:rPr>
          <w:b/>
          <w:bCs/>
          <w:sz w:val="22"/>
          <w:szCs w:val="22"/>
        </w:rPr>
        <w:t>-</w:t>
      </w:r>
      <w:r>
        <w:rPr>
          <w:b/>
          <w:bCs/>
          <w:sz w:val="22"/>
          <w:szCs w:val="22"/>
        </w:rPr>
        <w:tab/>
      </w:r>
      <w:r>
        <w:rPr>
          <w:b/>
          <w:bCs/>
          <w:sz w:val="22"/>
          <w:szCs w:val="22"/>
        </w:rPr>
        <w:t>Kiralama işlemlerine ilişkin açıklamalar:</w:t>
      </w:r>
    </w:p>
    <w:p>
      <w:pPr>
        <w:ind w:left="567"/>
        <w:jc w:val="both"/>
        <w:rPr>
          <w:i/>
          <w:iCs/>
          <w:sz w:val="20"/>
          <w:szCs w:val="20"/>
        </w:rPr>
      </w:pPr>
    </w:p>
    <w:p>
      <w:pPr>
        <w:ind w:left="567"/>
        <w:jc w:val="both"/>
        <w:rPr>
          <w:sz w:val="22"/>
          <w:szCs w:val="22"/>
        </w:rPr>
      </w:pPr>
      <w:r>
        <w:rPr>
          <w:bCs/>
          <w:sz w:val="22"/>
          <w:szCs w:val="22"/>
        </w:rPr>
        <w:t xml:space="preserve">Finansal kiralama işlemlerinde kiracı durumunda olan Banka kiralama işlemlerinin muhasebeleştirilmesinde Türkiye Muhasebe Standartlarından (TMS 17) “Kiralama İşlemleri”ni benimsemiştir. </w:t>
      </w:r>
      <w:r>
        <w:rPr>
          <w:sz w:val="22"/>
          <w:szCs w:val="22"/>
        </w:rPr>
        <w:t>Finansal kiralama işlemleri dışında kalan ve Bankacılık işlemlerinde kullanılmayan varlıkların kiraya verilmesinden kaynaklanan, ancak bilanço tarihi itibarıyla tahsil edilemeyen</w:t>
      </w:r>
      <w:r>
        <w:rPr>
          <w:sz w:val="22"/>
          <w:szCs w:val="22"/>
        </w:rPr>
        <w:t xml:space="preserve"> tutarlar </w:t>
      </w:r>
      <w:r>
        <w:rPr>
          <w:sz w:val="22"/>
          <w:szCs w:val="22"/>
        </w:rPr>
        <w:t xml:space="preserve">kiralama işleminden alacaklar hesabında izlenmektedir. </w:t>
      </w:r>
    </w:p>
    <w:p>
      <w:pPr>
        <w:ind w:left="567"/>
        <w:jc w:val="both"/>
        <w:rPr>
          <w:sz w:val="20"/>
          <w:szCs w:val="20"/>
        </w:rPr>
      </w:pPr>
    </w:p>
    <w:p>
      <w:pPr>
        <w:ind w:left="567"/>
        <w:jc w:val="both"/>
        <w:rPr>
          <w:bCs/>
          <w:sz w:val="22"/>
          <w:szCs w:val="22"/>
        </w:rPr>
      </w:pPr>
      <w:r>
        <w:rPr>
          <w:sz w:val="22"/>
          <w:szCs w:val="22"/>
        </w:rPr>
        <w:t>Bilanço tarihi itibarıyla Banka’nın 2 adet gayrimenkulü faaliyet kiralama sözleşmesi kapsamında olup</w:t>
      </w:r>
      <w:r>
        <w:rPr>
          <w:sz w:val="22"/>
          <w:szCs w:val="22"/>
        </w:rPr>
        <w:t xml:space="preserve"> bu gayrimenkuller bilançoda yatırım amaçlı gayrimenkuller adı altında sınıflandırılmaktadır. </w:t>
      </w:r>
      <w:r>
        <w:rPr>
          <w:bCs/>
          <w:sz w:val="22"/>
          <w:szCs w:val="22"/>
        </w:rPr>
        <w:t>Yatırım amaçlı gayrimenkuller, kira ve/veya değer artış kazancı elde etmek amacıyla elde tutulan gayrimenkuller olup, maliyet değerinden birikmiş amortisman ve varsa birikmiş değer düşüklükleri düşüldükten sonraki tutarlar ile gösterilmektedirler. Kabul gören kriterlere uyması durumunda bilançoda yer alan tutara, var olan yatırım amaçlı gayrimenkulun herhangi bir kısmını değiştirmenin maliyeti dahil edilir. Söz konusu tutara, yatırım amaçlı gayrimenkullere yapılan günlük bakımlar dahil değildir. Yatırım amaçlı gayrimenkullerin amortismanında doğrusal amortisman yöntemi kullanılmıştır. Yatırım amaçlı gayrimenkul</w:t>
      </w:r>
      <w:r>
        <w:rPr>
          <w:bCs/>
          <w:sz w:val="22"/>
          <w:szCs w:val="22"/>
        </w:rPr>
        <w:t>lerin</w:t>
      </w:r>
      <w:r>
        <w:rPr>
          <w:bCs/>
          <w:sz w:val="22"/>
          <w:szCs w:val="22"/>
        </w:rPr>
        <w:t xml:space="preserve"> </w:t>
      </w:r>
      <w:r>
        <w:rPr>
          <w:bCs/>
          <w:sz w:val="22"/>
          <w:szCs w:val="22"/>
        </w:rPr>
        <w:t>amortisman süresi 50 yıldır.</w:t>
      </w:r>
    </w:p>
    <w:p>
      <w:pPr>
        <w:ind w:left="567"/>
        <w:jc w:val="both"/>
        <w:rPr>
          <w:b/>
          <w:bCs/>
          <w:sz w:val="22"/>
          <w:szCs w:val="22"/>
        </w:rPr>
      </w:pPr>
    </w:p>
    <w:p>
      <w:pPr>
        <w:tabs>
          <w:tab w:val="num" w:pos="720"/>
        </w:tabs>
        <w:ind w:left="567" w:hanging="567"/>
        <w:jc w:val="both"/>
        <w:rPr>
          <w:b/>
          <w:bCs/>
          <w:sz w:val="22"/>
          <w:szCs w:val="22"/>
        </w:rPr>
      </w:pPr>
      <w:r>
        <w:rPr>
          <w:b/>
          <w:bCs/>
          <w:sz w:val="22"/>
          <w:szCs w:val="22"/>
        </w:rPr>
        <w:t>XI</w:t>
      </w:r>
      <w:r>
        <w:rPr>
          <w:b/>
          <w:bCs/>
          <w:sz w:val="22"/>
          <w:szCs w:val="22"/>
        </w:rPr>
        <w:t>V-</w:t>
      </w:r>
      <w:r>
        <w:rPr>
          <w:b/>
          <w:bCs/>
          <w:sz w:val="22"/>
          <w:szCs w:val="22"/>
        </w:rPr>
        <w:tab/>
      </w:r>
      <w:r>
        <w:rPr>
          <w:b/>
          <w:bCs/>
          <w:sz w:val="22"/>
          <w:szCs w:val="22"/>
        </w:rPr>
        <w:t>Karşılıklar ve koşullu yükümlülüklere ilişkin açıklamalar:</w:t>
      </w:r>
    </w:p>
    <w:p>
      <w:pPr>
        <w:tabs>
          <w:tab w:val="num" w:pos="720"/>
        </w:tabs>
        <w:ind w:left="567" w:hanging="567"/>
        <w:jc w:val="both"/>
        <w:rPr>
          <w:b/>
          <w:bCs/>
          <w:sz w:val="20"/>
          <w:szCs w:val="20"/>
        </w:rPr>
      </w:pPr>
    </w:p>
    <w:p>
      <w:pPr>
        <w:ind w:left="567" w:hanging="567"/>
        <w:jc w:val="both"/>
        <w:rPr>
          <w:rFonts w:eastAsia="Arial Unicode MS"/>
          <w:bCs/>
          <w:sz w:val="22"/>
          <w:szCs w:val="22"/>
        </w:rPr>
      </w:pPr>
      <w:r>
        <w:rPr>
          <w:b/>
          <w:bCs/>
          <w:sz w:val="22"/>
          <w:szCs w:val="22"/>
        </w:rPr>
        <w:tab/>
      </w:r>
      <w:r>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pPr>
        <w:ind w:left="567" w:hanging="567"/>
        <w:jc w:val="both"/>
        <w:rPr>
          <w:rFonts w:eastAsia="Arial Unicode MS"/>
          <w:bCs/>
          <w:sz w:val="20"/>
          <w:szCs w:val="20"/>
        </w:rPr>
      </w:pPr>
    </w:p>
    <w:p>
      <w:pPr>
        <w:ind w:left="567"/>
        <w:jc w:val="both"/>
        <w:rPr>
          <w:rFonts w:eastAsia="Arial Unicode MS"/>
          <w:bCs/>
          <w:sz w:val="22"/>
          <w:szCs w:val="22"/>
        </w:rPr>
      </w:pPr>
      <w:r>
        <w:rPr>
          <w:rFonts w:eastAsia="Arial Unicode MS"/>
          <w:bCs/>
          <w:sz w:val="22"/>
          <w:szCs w:val="22"/>
        </w:rPr>
        <w:t>Krediler ve diğer alacaklar için ayrılan özel ve genel karşılıklar dışında kalan karşılıklar ve koşullu yükümlülükler “Karşılıklar, Koşullu Borçlar ve Koşullu Varlıklara İlişkin Türkiye Muhasebe Standardı”na (TMS 37) uygun olarak muhasebeleştirilmektedir.</w:t>
      </w:r>
    </w:p>
    <w:p>
      <w:pPr>
        <w:ind w:left="567" w:hanging="567"/>
        <w:jc w:val="both"/>
        <w:rPr>
          <w:rFonts w:eastAsia="Arial Unicode MS"/>
          <w:bCs/>
          <w:sz w:val="20"/>
          <w:szCs w:val="20"/>
        </w:rPr>
      </w:pPr>
    </w:p>
    <w:p>
      <w:pPr>
        <w:ind w:left="567" w:hanging="567"/>
        <w:jc w:val="both"/>
        <w:rPr>
          <w:rFonts w:eastAsia="Arial Unicode MS"/>
          <w:bCs/>
          <w:sz w:val="22"/>
          <w:szCs w:val="22"/>
        </w:rPr>
      </w:pPr>
      <w:r>
        <w:rPr>
          <w:rFonts w:eastAsia="Arial Unicode MS"/>
          <w:bCs/>
          <w:sz w:val="22"/>
          <w:szCs w:val="22"/>
        </w:rPr>
        <w:tab/>
        <w:t>Mali bünyeyi etkileyebilecek boyuttaki işlemlerden verileri net olanlar için bu verilere dayanılarak, aksi durumda olanlar için ise tahmini olarak karşılık ayrılmaktadır.</w:t>
      </w:r>
    </w:p>
    <w:p>
      <w:pPr>
        <w:pStyle w:val="1tipi"/>
        <w:tabs>
          <w:tab w:val="clear" w:pos="1134"/>
          <w:tab w:val="left" w:pos="540"/>
        </w:tabs>
        <w:rPr>
          <w:rFonts w:ascii="Times New Roman" w:hAnsi="Times New Roman" w:cs="Times New Roman"/>
          <w:bCs/>
          <w:sz w:val="22"/>
          <w:szCs w:val="22"/>
          <w:lang w:val="tr-TR"/>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w:t>
      </w:r>
    </w:p>
    <w:p>
      <w:pPr>
        <w:ind w:left="567"/>
        <w:jc w:val="both"/>
        <w:rPr>
          <w:sz w:val="20"/>
          <w:szCs w:val="20"/>
        </w:rPr>
      </w:pPr>
    </w:p>
    <w:p>
      <w:pPr>
        <w:ind w:left="567"/>
        <w:jc w:val="both"/>
        <w:rPr>
          <w:sz w:val="22"/>
          <w:szCs w:val="22"/>
        </w:rPr>
      </w:pPr>
      <w:r>
        <w:rPr>
          <w:sz w:val="22"/>
          <w:szCs w:val="22"/>
        </w:rPr>
        <w:t xml:space="preserve">Çalışanların haklarına ilişkin yükümlülükler, </w:t>
      </w:r>
      <w:r>
        <w:rPr>
          <w:sz w:val="22"/>
          <w:szCs w:val="22"/>
        </w:rPr>
        <w:t>“</w:t>
      </w:r>
      <w:r>
        <w:rPr>
          <w:sz w:val="22"/>
          <w:szCs w:val="22"/>
        </w:rPr>
        <w:t>Çalışanlara Sağlanan Faydalara İlişkin Türkiye Muhasebe Standardı</w:t>
      </w:r>
      <w:r>
        <w:rPr>
          <w:sz w:val="22"/>
          <w:szCs w:val="22"/>
        </w:rPr>
        <w:t>”</w:t>
      </w:r>
      <w:r>
        <w:rPr>
          <w:sz w:val="22"/>
          <w:szCs w:val="22"/>
        </w:rPr>
        <w:t xml:space="preserve"> (TMS 19) hükümlerine göre muhasebeleştirilmiştir.</w:t>
      </w:r>
    </w:p>
    <w:p>
      <w:pPr>
        <w:jc w:val="both"/>
        <w:rPr>
          <w:sz w:val="20"/>
          <w:szCs w:val="20"/>
        </w:rPr>
      </w:pPr>
    </w:p>
    <w:p>
      <w:pPr>
        <w:ind w:left="567"/>
        <w:jc w:val="both"/>
      </w:pPr>
      <w:r>
        <w:rPr>
          <w:sz w:val="22"/>
          <w:szCs w:val="22"/>
        </w:rPr>
        <w:t xml:space="preserve">Banka çalışanlarının üyesi bulundukları </w:t>
      </w:r>
      <w:r>
        <w:rPr>
          <w:sz w:val="22"/>
          <w:szCs w:val="22"/>
        </w:rPr>
        <w:t>sandık bulunmamaktadır. Bununla birlikte çalışanların üyesi bulunduğu Kalkınma Bankası A.Ş. Personeli Yardımlaşma ve Ek Sosyal Güvenlik Vakfı</w:t>
      </w:r>
      <w:r>
        <w:rPr>
          <w:sz w:val="22"/>
          <w:szCs w:val="22"/>
        </w:rPr>
        <w:t xml:space="preserve"> ile ilgili olarak Banka</w:t>
      </w:r>
      <w:r>
        <w:rPr>
          <w:sz w:val="22"/>
          <w:szCs w:val="22"/>
        </w:rPr>
        <w:t>’</w:t>
      </w:r>
      <w:r>
        <w:rPr>
          <w:sz w:val="22"/>
          <w:szCs w:val="22"/>
        </w:rPr>
        <w:t xml:space="preserve">nın herhangi bir yükümlülüğü bulunmadığı için ekli </w:t>
      </w:r>
      <w:r>
        <w:rPr>
          <w:sz w:val="22"/>
          <w:szCs w:val="22"/>
        </w:rPr>
        <w:t xml:space="preserve">konsolide olmayan </w:t>
      </w:r>
      <w:r>
        <w:rPr>
          <w:sz w:val="22"/>
          <w:szCs w:val="22"/>
        </w:rPr>
        <w:t xml:space="preserve">finansal tablolarda </w:t>
      </w:r>
      <w:r>
        <w:rPr>
          <w:sz w:val="22"/>
          <w:szCs w:val="22"/>
        </w:rPr>
        <w:t>herhangi bir</w:t>
      </w:r>
      <w:r>
        <w:rPr>
          <w:sz w:val="22"/>
          <w:szCs w:val="22"/>
        </w:rPr>
        <w:t xml:space="preserve"> karşılık ayrılmamıştır</w:t>
      </w:r>
      <w:r>
        <w:t xml:space="preserve">. </w:t>
      </w:r>
    </w:p>
    <w:p>
      <w:pPr>
        <w:tabs>
          <w:tab w:val="num" w:pos="567"/>
        </w:tabs>
        <w:ind w:left="709" w:hanging="709"/>
        <w:jc w:val="both"/>
        <w:rPr>
          <w:b/>
          <w:bCs/>
          <w:sz w:val="22"/>
          <w:szCs w:val="22"/>
        </w:rPr>
      </w:pPr>
      <w:r>
        <w:rPr>
          <w:b/>
          <w:bCs/>
          <w:sz w:val="22"/>
          <w:szCs w:val="22"/>
        </w:rPr>
        <w:br w:type="page"/>
      </w:r>
    </w:p>
    <w:p>
      <w:pPr>
        <w:tabs>
          <w:tab w:val="num" w:pos="567"/>
        </w:tabs>
        <w:ind w:left="709" w:hanging="709"/>
        <w:jc w:val="both"/>
        <w:rPr>
          <w:b/>
          <w:bCs/>
          <w:sz w:val="22"/>
          <w:szCs w:val="22"/>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 (devam ediyor):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Türk yasaları ve sendika sözleşmelerine göre kıdem tazminatları emeklilik veya işten çıkarılma durumunda ödenmektedir. Personelin, Banka’daki çalışma statüsü ve bağlı olduğu sosyal güvenlik kurumuna göre ilgili mevzuat uyarınca, Devlet memuru statüsünde çalıştıkları süre için emekli ikramiyesi, işçi statüsünde çalıştıkları dönem için ayrıldıkları tarihteki maaşı esas alınarak (kıdem tazminatı tavanını aşmamak suretiyle) kıdem tazminatı hesaplanmaktadır.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Banka çalışanlarının 1 yıl öncesinden gelen kullanmadıkları izinleri silinmektedir ve söz konusu izinler Banka’ya izin yükü</w:t>
      </w:r>
      <w:r>
        <w:rPr>
          <w:rFonts w:eastAsia="Arial Unicode MS"/>
          <w:bCs/>
          <w:sz w:val="22"/>
          <w:szCs w:val="22"/>
        </w:rPr>
        <w:t>m</w:t>
      </w:r>
      <w:r>
        <w:rPr>
          <w:rFonts w:eastAsia="Arial Unicode MS"/>
          <w:bCs/>
          <w:sz w:val="22"/>
          <w:szCs w:val="22"/>
        </w:rPr>
        <w:t xml:space="preserve">lümlülüğü doğurmamaktadır. Bu nedenle izin ücreti yükümlülüğüne ilişkin hesaplama yapılmamakta olup </w:t>
      </w:r>
      <w:r>
        <w:rPr>
          <w:rFonts w:eastAsia="Arial Unicode MS"/>
          <w:bCs/>
          <w:sz w:val="22"/>
          <w:szCs w:val="22"/>
        </w:rPr>
        <w:t xml:space="preserve">konsolide olmayan </w:t>
      </w:r>
      <w:r>
        <w:rPr>
          <w:rFonts w:eastAsia="Arial Unicode MS"/>
          <w:bCs/>
          <w:sz w:val="22"/>
          <w:szCs w:val="22"/>
        </w:rPr>
        <w:t>finansal tablolarda iz</w:t>
      </w:r>
      <w:r>
        <w:rPr>
          <w:rFonts w:eastAsia="Arial Unicode MS"/>
          <w:bCs/>
          <w:sz w:val="22"/>
          <w:szCs w:val="22"/>
        </w:rPr>
        <w:t>in yükümlülüğüne ilişkin ayrılm</w:t>
      </w:r>
      <w:r>
        <w:rPr>
          <w:rFonts w:eastAsia="Arial Unicode MS"/>
          <w:bCs/>
          <w:sz w:val="22"/>
          <w:szCs w:val="22"/>
        </w:rPr>
        <w:t>ış olan karşılık bulunmamaktadır.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Çalış</w:t>
      </w:r>
      <w:r>
        <w:rPr>
          <w:rFonts w:eastAsia="Arial Unicode MS"/>
          <w:bCs/>
          <w:sz w:val="22"/>
          <w:szCs w:val="22"/>
        </w:rPr>
        <w:t>an</w:t>
      </w:r>
      <w:r>
        <w:rPr>
          <w:rFonts w:eastAsia="Arial Unicode MS"/>
          <w:bCs/>
          <w:sz w:val="22"/>
          <w:szCs w:val="22"/>
        </w:rPr>
        <w:t xml:space="preserve"> haklarından doğabilecek toplam yükümlülüğün hesaplanmasındaki ana varsayım, her hizmet yılı için olan azami yükümlülük tutarının enflasyona paralel olarak artacak olmasıdır. Dolayısıyla, uygulanan iskonto oranı, gelecek enflasyon etkilerinin düzeltilmesinden sonraki beklenen reel oranı ifade eder. Bu nedenle, 3</w:t>
      </w:r>
      <w:r>
        <w:rPr>
          <w:rFonts w:eastAsia="Arial Unicode MS"/>
          <w:bCs/>
          <w:sz w:val="22"/>
          <w:szCs w:val="22"/>
        </w:rPr>
        <w:t>0</w:t>
      </w:r>
      <w:r>
        <w:rPr>
          <w:rFonts w:eastAsia="Arial Unicode MS"/>
          <w:bCs/>
          <w:sz w:val="22"/>
          <w:szCs w:val="22"/>
        </w:rPr>
        <w:t xml:space="preserve"> </w:t>
      </w:r>
      <w:r>
        <w:rPr>
          <w:rFonts w:eastAsia="Arial Unicode MS"/>
          <w:bCs/>
          <w:sz w:val="22"/>
          <w:szCs w:val="22"/>
        </w:rPr>
        <w:t>Haziran</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 itibarıyla, karşılıklar, geleceğe ilişkin, çalışanların emekliliğinden kaynaklanacak muhtemel yükümlülüğünün bugünkü değeri tahmin edilerek hesaplanır. İlgili bilanço tarihlerindeki karşılıklar, yıllık %</w:t>
      </w:r>
      <w:r>
        <w:rPr>
          <w:rFonts w:eastAsia="Arial Unicode MS"/>
          <w:bCs/>
          <w:sz w:val="22"/>
          <w:szCs w:val="22"/>
        </w:rPr>
        <w:t xml:space="preserve"> 5</w:t>
      </w:r>
      <w:r>
        <w:rPr>
          <w:rFonts w:eastAsia="Arial Unicode MS"/>
          <w:bCs/>
          <w:sz w:val="22"/>
          <w:szCs w:val="22"/>
        </w:rPr>
        <w:t>,</w:t>
      </w:r>
      <w:r>
        <w:rPr>
          <w:rFonts w:eastAsia="Arial Unicode MS"/>
          <w:bCs/>
          <w:sz w:val="22"/>
          <w:szCs w:val="22"/>
        </w:rPr>
        <w:t>10</w:t>
      </w:r>
      <w:r>
        <w:rPr>
          <w:rFonts w:eastAsia="Arial Unicode MS"/>
          <w:bCs/>
          <w:sz w:val="22"/>
          <w:szCs w:val="22"/>
        </w:rPr>
        <w:t xml:space="preserve"> </w:t>
      </w:r>
      <w:r>
        <w:rPr>
          <w:rFonts w:eastAsia="Arial Unicode MS"/>
          <w:bCs/>
          <w:sz w:val="22"/>
          <w:szCs w:val="22"/>
        </w:rPr>
        <w:t xml:space="preserve">enflasyon ve </w:t>
      </w:r>
      <w:r>
        <w:rPr>
          <w:rFonts w:eastAsia="Arial Unicode MS"/>
          <w:bCs/>
          <w:sz w:val="22"/>
          <w:szCs w:val="22"/>
        </w:rPr>
        <w:t>%</w:t>
      </w:r>
      <w:r>
        <w:rPr>
          <w:rFonts w:eastAsia="Arial Unicode MS"/>
          <w:bCs/>
          <w:sz w:val="22"/>
          <w:szCs w:val="22"/>
        </w:rPr>
        <w:t>1</w:t>
      </w:r>
      <w:r>
        <w:rPr>
          <w:rFonts w:eastAsia="Arial Unicode MS"/>
          <w:bCs/>
          <w:sz w:val="22"/>
          <w:szCs w:val="22"/>
        </w:rPr>
        <w:t>0</w:t>
      </w:r>
      <w:r>
        <w:rPr>
          <w:rFonts w:eastAsia="Arial Unicode MS"/>
          <w:bCs/>
          <w:sz w:val="22"/>
          <w:szCs w:val="22"/>
        </w:rPr>
        <w:t xml:space="preserve"> iskonto oranı varsayımlarına göre yaklaşık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olarak elde edilen reel iskonto oranı kullanılmak suretiyle hesaplanmıştır (31 Aralık 20</w:t>
      </w:r>
      <w:r>
        <w:rPr>
          <w:rFonts w:eastAsia="Arial Unicode MS"/>
          <w:bCs/>
          <w:sz w:val="22"/>
          <w:szCs w:val="22"/>
        </w:rPr>
        <w:t>10</w:t>
      </w:r>
      <w:r>
        <w:rPr>
          <w:rFonts w:eastAsia="Arial Unicode MS"/>
          <w:bCs/>
          <w:sz w:val="22"/>
          <w:szCs w:val="22"/>
        </w:rPr>
        <w:t>: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Kıdem tazminatı tavanı altı ayda bir revize edilmekte olup, Banka’nın kıdem tazminatı karşılığının hesaplanmasında 1 </w:t>
      </w:r>
      <w:r>
        <w:rPr>
          <w:rFonts w:eastAsia="Arial Unicode MS"/>
          <w:bCs/>
          <w:sz w:val="22"/>
          <w:szCs w:val="22"/>
        </w:rPr>
        <w:t>Ocak</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tarihinden itibaren geçerli olan 2</w:t>
      </w:r>
      <w:r>
        <w:rPr>
          <w:rFonts w:eastAsia="Arial Unicode MS"/>
          <w:bCs/>
          <w:sz w:val="22"/>
          <w:szCs w:val="22"/>
        </w:rPr>
        <w:t>.</w:t>
      </w:r>
      <w:r>
        <w:rPr>
          <w:rFonts w:eastAsia="Arial Unicode MS"/>
          <w:bCs/>
          <w:sz w:val="22"/>
          <w:szCs w:val="22"/>
        </w:rPr>
        <w:t>623</w:t>
      </w:r>
      <w:r>
        <w:rPr>
          <w:rFonts w:eastAsia="Arial Unicode MS"/>
          <w:bCs/>
          <w:sz w:val="22"/>
          <w:szCs w:val="22"/>
        </w:rPr>
        <w:t>,</w:t>
      </w:r>
      <w:r>
        <w:rPr>
          <w:rFonts w:eastAsia="Arial Unicode MS"/>
          <w:bCs/>
          <w:sz w:val="22"/>
          <w:szCs w:val="22"/>
        </w:rPr>
        <w:t>23</w:t>
      </w:r>
      <w:r>
        <w:rPr>
          <w:rFonts w:eastAsia="Arial Unicode MS"/>
          <w:bCs/>
          <w:sz w:val="22"/>
          <w:szCs w:val="22"/>
        </w:rPr>
        <w:t xml:space="preserve"> TL tavan tutarı dikkate alınmıştır.</w:t>
      </w:r>
    </w:p>
    <w:p>
      <w:pPr>
        <w:jc w:val="both"/>
        <w:rPr>
          <w:b/>
          <w:bCs/>
          <w:sz w:val="10"/>
          <w:szCs w:val="10"/>
        </w:rPr>
      </w:pPr>
    </w:p>
    <w:p>
      <w:pPr>
        <w:ind w:left="567" w:hanging="567"/>
        <w:jc w:val="both"/>
        <w:rPr>
          <w:b/>
          <w:bCs/>
          <w:sz w:val="22"/>
          <w:szCs w:val="22"/>
        </w:rPr>
      </w:pPr>
      <w:r>
        <w:rPr>
          <w:b/>
          <w:bCs/>
          <w:sz w:val="22"/>
          <w:szCs w:val="22"/>
        </w:rPr>
        <w:t>XV</w:t>
      </w:r>
      <w:r>
        <w:rPr>
          <w:b/>
          <w:bCs/>
          <w:sz w:val="22"/>
          <w:szCs w:val="22"/>
        </w:rPr>
        <w:t>I</w:t>
      </w:r>
      <w:r>
        <w:rPr>
          <w:b/>
          <w:bCs/>
          <w:sz w:val="22"/>
          <w:szCs w:val="22"/>
        </w:rPr>
        <w:t>-</w:t>
      </w:r>
      <w:r>
        <w:rPr>
          <w:b/>
          <w:bCs/>
          <w:sz w:val="22"/>
          <w:szCs w:val="22"/>
        </w:rPr>
        <w:tab/>
      </w:r>
      <w:r>
        <w:rPr>
          <w:b/>
          <w:bCs/>
          <w:sz w:val="22"/>
          <w:szCs w:val="22"/>
        </w:rPr>
        <w:t>Vergi uygulamalarına ilişkin açıklamalar:</w:t>
      </w:r>
    </w:p>
    <w:p>
      <w:pPr>
        <w:jc w:val="both"/>
        <w:rPr>
          <w:b/>
          <w:bCs/>
          <w:sz w:val="10"/>
          <w:szCs w:val="10"/>
        </w:rPr>
      </w:pPr>
    </w:p>
    <w:p>
      <w:pPr>
        <w:ind w:left="540"/>
        <w:jc w:val="both"/>
        <w:rPr>
          <w:bCs/>
          <w:sz w:val="22"/>
          <w:szCs w:val="22"/>
        </w:rPr>
      </w:pPr>
      <w:r>
        <w:rPr>
          <w:bCs/>
          <w:sz w:val="22"/>
          <w:szCs w:val="22"/>
        </w:rPr>
        <w:t xml:space="preserve">5520 sayılı Kurumlar Vergisi Kanunu’nun 32. maddesi uyarınca, kurumlar vergisinin hesaplanmasında %20 oranı dikkate alınmaktadır. </w:t>
      </w:r>
      <w:r>
        <w:rPr>
          <w:bCs/>
          <w:sz w:val="22"/>
          <w:szCs w:val="22"/>
        </w:rPr>
        <w:t>İ</w:t>
      </w:r>
      <w:r>
        <w:rPr>
          <w:bCs/>
          <w:sz w:val="22"/>
          <w:szCs w:val="22"/>
        </w:rPr>
        <w:t>lgili</w:t>
      </w:r>
      <w:r>
        <w:rPr>
          <w:bCs/>
          <w:sz w:val="22"/>
          <w:szCs w:val="22"/>
        </w:rPr>
        <w:t xml:space="preserve"> </w:t>
      </w:r>
      <w:r>
        <w:rPr>
          <w:bCs/>
          <w:sz w:val="22"/>
          <w:szCs w:val="22"/>
        </w:rPr>
        <w:t>kanun gereği üçer aylık dönemler itibarıyla Gelir Vergisi Kanunu’nda belirtilen</w:t>
      </w:r>
      <w:r>
        <w:rPr>
          <w:bCs/>
          <w:sz w:val="22"/>
          <w:szCs w:val="22"/>
        </w:rPr>
        <w:t xml:space="preserve"> </w:t>
      </w:r>
      <w:r>
        <w:rPr>
          <w:bCs/>
          <w:sz w:val="22"/>
          <w:szCs w:val="22"/>
        </w:rPr>
        <w:t>esaslara göre ve kurumlar vergisi oranında geçici vergi hesaplanmakta ve ödenmektedir. Söz konusu geçici vergi ödemeleri cari vergilendirme döneminin kurumlar vergisine mahsup edilmektedir. Cari vergilendirme</w:t>
      </w:r>
      <w:r>
        <w:rPr>
          <w:bCs/>
          <w:sz w:val="22"/>
          <w:szCs w:val="22"/>
        </w:rPr>
        <w:t xml:space="preserve"> </w:t>
      </w:r>
      <w:r>
        <w:rPr>
          <w:bCs/>
          <w:sz w:val="22"/>
          <w:szCs w:val="22"/>
        </w:rPr>
        <w:t>döneminin</w:t>
      </w:r>
      <w:r>
        <w:rPr>
          <w:bCs/>
          <w:sz w:val="22"/>
          <w:szCs w:val="22"/>
        </w:rPr>
        <w:t xml:space="preserve"> </w:t>
      </w:r>
      <w:r>
        <w:rPr>
          <w:bCs/>
          <w:sz w:val="22"/>
          <w:szCs w:val="22"/>
        </w:rPr>
        <w:t>kurumlar</w:t>
      </w:r>
      <w:r>
        <w:rPr>
          <w:bCs/>
          <w:sz w:val="22"/>
          <w:szCs w:val="22"/>
        </w:rPr>
        <w:t xml:space="preserve"> </w:t>
      </w:r>
      <w:r>
        <w:rPr>
          <w:bCs/>
          <w:sz w:val="22"/>
          <w:szCs w:val="22"/>
        </w:rPr>
        <w:t>vergisine</w:t>
      </w:r>
      <w:r>
        <w:rPr>
          <w:bCs/>
          <w:sz w:val="22"/>
          <w:szCs w:val="22"/>
        </w:rPr>
        <w:t xml:space="preserve"> </w:t>
      </w:r>
      <w:r>
        <w:rPr>
          <w:bCs/>
          <w:sz w:val="22"/>
          <w:szCs w:val="22"/>
        </w:rPr>
        <w:t>mahsup edilmek</w:t>
      </w:r>
      <w:r>
        <w:rPr>
          <w:bCs/>
          <w:sz w:val="22"/>
          <w:szCs w:val="22"/>
        </w:rPr>
        <w:t xml:space="preserve"> </w:t>
      </w:r>
      <w:r>
        <w:rPr>
          <w:bCs/>
          <w:sz w:val="22"/>
          <w:szCs w:val="22"/>
        </w:rPr>
        <w:t>üzere,</w:t>
      </w:r>
      <w:r>
        <w:rPr>
          <w:bCs/>
          <w:sz w:val="22"/>
          <w:szCs w:val="22"/>
        </w:rPr>
        <w:t xml:space="preserve"> 3</w:t>
      </w:r>
      <w:r>
        <w:rPr>
          <w:bCs/>
          <w:sz w:val="22"/>
          <w:szCs w:val="22"/>
        </w:rPr>
        <w:t>0</w:t>
      </w:r>
      <w:r>
        <w:rPr>
          <w:bCs/>
          <w:sz w:val="22"/>
          <w:szCs w:val="22"/>
        </w:rPr>
        <w:t xml:space="preserve"> </w:t>
      </w:r>
      <w:r>
        <w:rPr>
          <w:bCs/>
          <w:sz w:val="22"/>
          <w:szCs w:val="22"/>
        </w:rPr>
        <w:t xml:space="preserve">Haziran </w:t>
      </w:r>
      <w:r>
        <w:rPr>
          <w:bCs/>
          <w:sz w:val="22"/>
          <w:szCs w:val="22"/>
        </w:rPr>
        <w:t xml:space="preserve"> </w:t>
      </w:r>
      <w:r>
        <w:rPr>
          <w:bCs/>
          <w:sz w:val="22"/>
          <w:szCs w:val="22"/>
        </w:rPr>
        <w:t>201</w:t>
      </w:r>
      <w:r>
        <w:rPr>
          <w:bCs/>
          <w:sz w:val="22"/>
          <w:szCs w:val="22"/>
        </w:rPr>
        <w:t>1</w:t>
      </w:r>
      <w:r>
        <w:rPr>
          <w:bCs/>
          <w:sz w:val="22"/>
          <w:szCs w:val="22"/>
        </w:rPr>
        <w:t xml:space="preserve"> tarihi itibarıyla tahakkuk eden geçici vergi </w:t>
      </w:r>
      <w:r>
        <w:rPr>
          <w:bCs/>
          <w:sz w:val="22"/>
          <w:szCs w:val="22"/>
        </w:rPr>
        <w:t>1</w:t>
      </w:r>
      <w:r>
        <w:rPr>
          <w:bCs/>
          <w:sz w:val="22"/>
          <w:szCs w:val="22"/>
        </w:rPr>
        <w:t>7</w:t>
      </w:r>
      <w:r>
        <w:rPr>
          <w:bCs/>
          <w:sz w:val="22"/>
          <w:szCs w:val="22"/>
        </w:rPr>
        <w:t xml:space="preserve"> </w:t>
      </w:r>
      <w:r>
        <w:rPr>
          <w:bCs/>
          <w:sz w:val="22"/>
          <w:szCs w:val="22"/>
        </w:rPr>
        <w:t>Ağustos</w:t>
      </w:r>
      <w:r>
        <w:rPr>
          <w:bCs/>
          <w:sz w:val="22"/>
          <w:szCs w:val="22"/>
        </w:rPr>
        <w:t xml:space="preserve"> </w:t>
      </w:r>
      <w:r>
        <w:rPr>
          <w:bCs/>
          <w:sz w:val="22"/>
          <w:szCs w:val="22"/>
        </w:rPr>
        <w:t xml:space="preserve"> </w:t>
      </w:r>
      <w:r>
        <w:rPr>
          <w:bCs/>
          <w:sz w:val="22"/>
          <w:szCs w:val="22"/>
        </w:rPr>
        <w:t>201</w:t>
      </w:r>
      <w:r>
        <w:rPr>
          <w:bCs/>
          <w:sz w:val="22"/>
          <w:szCs w:val="22"/>
        </w:rPr>
        <w:t>1</w:t>
      </w:r>
      <w:r>
        <w:rPr>
          <w:bCs/>
          <w:sz w:val="22"/>
          <w:szCs w:val="22"/>
        </w:rPr>
        <w:t xml:space="preserve"> tarihinde</w:t>
      </w:r>
      <w:r>
        <w:rPr>
          <w:bCs/>
          <w:sz w:val="22"/>
          <w:szCs w:val="22"/>
        </w:rPr>
        <w:t xml:space="preserve"> öden</w:t>
      </w:r>
      <w:r>
        <w:rPr>
          <w:bCs/>
          <w:sz w:val="22"/>
          <w:szCs w:val="22"/>
        </w:rPr>
        <w:t>ecektir.</w:t>
      </w:r>
    </w:p>
    <w:p>
      <w:pPr>
        <w:ind w:left="540"/>
        <w:jc w:val="both"/>
        <w:rPr>
          <w:bCs/>
          <w:sz w:val="10"/>
          <w:szCs w:val="10"/>
        </w:rPr>
      </w:pPr>
    </w:p>
    <w:p>
      <w:pPr>
        <w:ind w:left="540"/>
        <w:jc w:val="both"/>
        <w:rPr>
          <w:bCs/>
          <w:sz w:val="22"/>
          <w:szCs w:val="22"/>
        </w:rPr>
      </w:pPr>
      <w:r>
        <w:rPr>
          <w:bCs/>
          <w:sz w:val="22"/>
          <w:szCs w:val="22"/>
        </w:rPr>
        <w:t xml:space="preserve">Vergi </w:t>
      </w:r>
      <w:r>
        <w:rPr>
          <w:bCs/>
          <w:sz w:val="22"/>
          <w:szCs w:val="22"/>
        </w:rPr>
        <w:t>gideri, cari vergi ve ertelenmiş</w:t>
      </w:r>
      <w:r>
        <w:rPr>
          <w:bCs/>
          <w:sz w:val="22"/>
          <w:szCs w:val="22"/>
        </w:rPr>
        <w:t xml:space="preserve"> </w:t>
      </w:r>
      <w:r>
        <w:rPr>
          <w:bCs/>
          <w:sz w:val="22"/>
          <w:szCs w:val="22"/>
        </w:rPr>
        <w:t>vergi giderinin toplamından oluş</w:t>
      </w:r>
      <w:r>
        <w:rPr>
          <w:bCs/>
          <w:sz w:val="22"/>
          <w:szCs w:val="22"/>
        </w:rPr>
        <w:t>ur. Cari döneme ili</w:t>
      </w:r>
      <w:r>
        <w:rPr>
          <w:bCs/>
          <w:sz w:val="22"/>
          <w:szCs w:val="22"/>
        </w:rPr>
        <w:t>ş</w:t>
      </w:r>
      <w:r>
        <w:rPr>
          <w:bCs/>
          <w:sz w:val="22"/>
          <w:szCs w:val="22"/>
        </w:rPr>
        <w:t xml:space="preserve">kin vergi yükümlülüğü, dönem karının vergiye tabi olan kısmı üzerinden hesaplanır. Vergiye tabi kar, diğer dönemlerde vergilendirilebilen veya indirilebilen gelir veya gider kalemleri ile vergilendirilemeyen veya indirilemeyen </w:t>
      </w:r>
      <w:r>
        <w:rPr>
          <w:bCs/>
          <w:sz w:val="22"/>
          <w:szCs w:val="22"/>
        </w:rPr>
        <w:t xml:space="preserve">gelir veya gider </w:t>
      </w:r>
      <w:r>
        <w:rPr>
          <w:bCs/>
          <w:sz w:val="22"/>
          <w:szCs w:val="22"/>
        </w:rPr>
        <w:t>kalemleri</w:t>
      </w:r>
      <w:r>
        <w:rPr>
          <w:bCs/>
          <w:sz w:val="22"/>
          <w:szCs w:val="22"/>
        </w:rPr>
        <w:t>ni</w:t>
      </w:r>
      <w:r>
        <w:rPr>
          <w:bCs/>
          <w:sz w:val="22"/>
          <w:szCs w:val="22"/>
        </w:rPr>
        <w:t xml:space="preserve"> hariç tuttuğundan dolayı, gelir tablosunda belirtilen kardan farklılık gösterir.</w:t>
      </w:r>
    </w:p>
    <w:p>
      <w:pPr>
        <w:ind w:left="567"/>
        <w:jc w:val="both"/>
        <w:rPr>
          <w:bCs/>
          <w:sz w:val="10"/>
          <w:szCs w:val="10"/>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Ertelen</w:t>
      </w:r>
      <w:r>
        <w:rPr>
          <w:rFonts w:ascii="TimesNewRomanPSMT" w:hAnsi="TimesNewRomanPSMT" w:cs="TimesNewRomanPSMT"/>
          <w:sz w:val="22"/>
          <w:szCs w:val="22"/>
        </w:rPr>
        <w:t>en</w:t>
      </w:r>
      <w:r>
        <w:rPr>
          <w:rFonts w:ascii="TimesNewRomanPSMT" w:hAnsi="TimesNewRomanPSMT" w:cs="TimesNewRomanPSMT"/>
          <w:sz w:val="22"/>
          <w:szCs w:val="22"/>
        </w:rPr>
        <w:t xml:space="preserve"> vergi </w:t>
      </w:r>
      <w:r>
        <w:rPr>
          <w:rFonts w:ascii="TimesNewRomanPSMT" w:hAnsi="TimesNewRomanPSMT" w:cs="TimesNewRomanPSMT"/>
          <w:sz w:val="22"/>
          <w:szCs w:val="22"/>
        </w:rPr>
        <w:t>yükümlülüğü</w:t>
      </w:r>
      <w:r>
        <w:rPr>
          <w:rFonts w:ascii="TimesNewRomanPSMT" w:hAnsi="TimesNewRomanPSMT" w:cs="TimesNewRomanPSMT"/>
          <w:sz w:val="22"/>
          <w:szCs w:val="22"/>
        </w:rPr>
        <w:t xml:space="preserve"> veya varlığı “Gelir Vergilerine İlişkin Türkiye Muhasebe Standardı” (TMS 12) uyarınca varlıkların ve </w:t>
      </w:r>
      <w:r>
        <w:rPr>
          <w:rFonts w:ascii="TimesNewRomanPSMT" w:hAnsi="TimesNewRomanPSMT" w:cs="TimesNewRomanPSMT"/>
          <w:sz w:val="22"/>
          <w:szCs w:val="22"/>
        </w:rPr>
        <w:t>yükümlülüklerin</w:t>
      </w:r>
      <w:r>
        <w:rPr>
          <w:rFonts w:ascii="TimesNewRomanPSMT" w:hAnsi="TimesNewRomanPSMT" w:cs="TimesNewRomanPSMT"/>
          <w:sz w:val="22"/>
          <w:szCs w:val="22"/>
        </w:rPr>
        <w:t xml:space="preserve"> finansal tablolarda gösterilen </w:t>
      </w:r>
      <w:r>
        <w:rPr>
          <w:rFonts w:ascii="TimesNewRomanPSMT" w:hAnsi="TimesNewRomanPSMT" w:cs="TimesNewRomanPSMT"/>
          <w:sz w:val="22"/>
          <w:szCs w:val="22"/>
        </w:rPr>
        <w:t xml:space="preserve">tutarları </w:t>
      </w:r>
      <w:r>
        <w:rPr>
          <w:rFonts w:ascii="TimesNewRomanPSMT" w:hAnsi="TimesNewRomanPSMT" w:cs="TimesNewRomanPSMT"/>
          <w:sz w:val="22"/>
          <w:szCs w:val="22"/>
        </w:rPr>
        <w:t xml:space="preserve"> ile yasal vergi matrahı hesabında dikkate alınan tutarları arasındaki</w:t>
      </w:r>
      <w:r>
        <w:rPr>
          <w:rFonts w:ascii="TimesNewRomanPSMT" w:hAnsi="TimesNewRomanPSMT" w:cs="TimesNewRomanPSMT"/>
          <w:sz w:val="22"/>
          <w:szCs w:val="22"/>
        </w:rPr>
        <w:t xml:space="preserve"> </w:t>
      </w:r>
      <w:r>
        <w:rPr>
          <w:rFonts w:ascii="TimesNewRomanPSMT" w:hAnsi="TimesNewRomanPSMT" w:cs="TimesNewRomanPSMT"/>
          <w:sz w:val="22"/>
          <w:szCs w:val="22"/>
        </w:rPr>
        <w:t xml:space="preserve">geçici </w:t>
      </w:r>
      <w:r>
        <w:rPr>
          <w:rFonts w:ascii="TimesNewRomanPSMT" w:hAnsi="TimesNewRomanPSMT" w:cs="TimesNewRomanPSMT"/>
          <w:sz w:val="22"/>
          <w:szCs w:val="22"/>
        </w:rPr>
        <w:t xml:space="preserve"> </w:t>
      </w:r>
      <w:r>
        <w:rPr>
          <w:rFonts w:ascii="TimesNewRomanPSMT" w:hAnsi="TimesNewRomanPSMT" w:cs="TimesNewRomanPSMT"/>
          <w:sz w:val="22"/>
          <w:szCs w:val="22"/>
        </w:rPr>
        <w:t>farklılıkları</w:t>
      </w:r>
      <w:r>
        <w:rPr>
          <w:rFonts w:ascii="TimesNewRomanPSMT" w:hAnsi="TimesNewRomanPSMT" w:cs="TimesNewRomanPSMT"/>
          <w:sz w:val="22"/>
          <w:szCs w:val="22"/>
        </w:rPr>
        <w:t>n</w:t>
      </w:r>
      <w:r>
        <w:rPr>
          <w:rFonts w:ascii="TimesNewRomanPSMT" w:hAnsi="TimesNewRomanPSMT" w:cs="TimesNewRomanPSMT"/>
          <w:sz w:val="22"/>
          <w:szCs w:val="22"/>
        </w:rPr>
        <w:t xml:space="preserve">, </w:t>
      </w:r>
      <w:r>
        <w:rPr>
          <w:sz w:val="22"/>
          <w:szCs w:val="22"/>
        </w:rPr>
        <w:t>bilanço yöntemine göre vergi etkilerinin yasalaşmış vergi oranları dikkate alınarak hesaplanmasıyla belirlenmektedir. Ertelenen vergi yükümlülükleri vergilendirilebilir geçici farkların tümü için hesaplanırken, indirilebilir geçici farklardan olusan ertelenen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ertelenen vergi yükümlülüğü veya varlığı hesaplanmaz.</w:t>
      </w:r>
    </w:p>
    <w:p>
      <w:pPr>
        <w:jc w:val="both"/>
        <w:rPr>
          <w:sz w:val="10"/>
          <w:szCs w:val="10"/>
        </w:rPr>
      </w:pPr>
    </w:p>
    <w:p>
      <w:pPr>
        <w:ind w:left="540"/>
        <w:jc w:val="both"/>
        <w:rPr>
          <w:sz w:val="10"/>
          <w:szCs w:val="10"/>
        </w:rPr>
      </w:pPr>
      <w:r>
        <w:rPr>
          <w:sz w:val="22"/>
          <w:szCs w:val="22"/>
        </w:rPr>
        <w:t>Ertelenen vergi varlığının kayıtlı değeri, her bir bilanço tarihi itibarıyla gözden geçirilir. Ertelenen vergi varlığının bir kısmının veya tamamının sağlayacağı faydanın elde edilmesine imkan verecek düzeyde mali kar elde etmenin muhtemel olmadığı ölçüde, ertelenen vergi varlığının kayıtlı değeri azaltılır.</w:t>
      </w:r>
    </w:p>
    <w:p>
      <w:pPr>
        <w:rPr>
          <w:sz w:val="22"/>
          <w:szCs w:val="22"/>
        </w:rPr>
      </w:pPr>
      <w:r>
        <w:rPr>
          <w:sz w:val="22"/>
          <w:szCs w:val="22"/>
        </w:rPr>
        <w:br w:type="page"/>
      </w:r>
    </w:p>
    <w:p>
      <w:pPr>
        <w:rPr>
          <w:b/>
          <w:bCs/>
          <w:sz w:val="22"/>
          <w:szCs w:val="22"/>
        </w:rPr>
      </w:pPr>
    </w:p>
    <w:p>
      <w:pPr>
        <w:rPr>
          <w:b/>
          <w:bCs/>
          <w:sz w:val="22"/>
          <w:szCs w:val="22"/>
        </w:rPr>
      </w:pPr>
      <w:r>
        <w:rPr>
          <w:b/>
          <w:bCs/>
          <w:sz w:val="22"/>
          <w:szCs w:val="22"/>
        </w:rPr>
        <w:t>XVI-</w:t>
      </w:r>
      <w:r>
        <w:rPr>
          <w:b/>
          <w:bCs/>
          <w:sz w:val="22"/>
          <w:szCs w:val="22"/>
        </w:rPr>
        <w:tab/>
      </w:r>
      <w:r>
        <w:rPr>
          <w:b/>
          <w:bCs/>
          <w:sz w:val="22"/>
          <w:szCs w:val="22"/>
        </w:rPr>
        <w:t>Vergi uygulamalarına ilişkin açıklamalar (devamı):</w:t>
      </w:r>
    </w:p>
    <w:p>
      <w:pPr>
        <w:tabs>
          <w:tab w:val="left" w:pos="915"/>
        </w:tabs>
        <w:ind w:left="709"/>
        <w:jc w:val="both"/>
        <w:rPr>
          <w:sz w:val="22"/>
          <w:szCs w:val="22"/>
        </w:rPr>
      </w:pPr>
      <w:r>
        <w:rPr>
          <w:sz w:val="22"/>
          <w:szCs w:val="22"/>
        </w:rPr>
        <w:tab/>
      </w:r>
    </w:p>
    <w:p>
      <w:pPr>
        <w:ind w:left="709"/>
        <w:jc w:val="both"/>
        <w:rPr>
          <w:sz w:val="22"/>
          <w:szCs w:val="22"/>
        </w:rPr>
      </w:pPr>
      <w:r>
        <w:rPr>
          <w:sz w:val="22"/>
          <w:szCs w:val="22"/>
        </w:rPr>
        <w:t>Ertelenmiş vergi, varlıkların oluştuğu veya yükümlülüklerin yerine getirildiği dönemde geçerli olan vergi oranları üzerinden hesaplanır ve gelir tablosuna gider veya gelir olarak kaydedilir. Bununla birlikte, ertelenen vergi, aynı veya farklı bir dönemde doğrudan özsermaye ile ilişkilendirilen varlıklarla ilgili ise doğrudan özsermaye hesap grubuyla ilişkilendirilir.</w:t>
      </w:r>
    </w:p>
    <w:p>
      <w:pPr>
        <w:ind w:left="709"/>
        <w:jc w:val="both"/>
        <w:rPr>
          <w:sz w:val="22"/>
          <w:szCs w:val="22"/>
        </w:rPr>
      </w:pPr>
    </w:p>
    <w:p>
      <w:pPr>
        <w:ind w:left="709"/>
        <w:jc w:val="both"/>
        <w:rPr>
          <w:sz w:val="22"/>
          <w:szCs w:val="22"/>
        </w:rPr>
      </w:pPr>
      <w:r>
        <w:rPr>
          <w:sz w:val="22"/>
          <w:szCs w:val="22"/>
        </w:rPr>
        <w:t>Ödenecek cari vergi tutarları, peşin ödenen vergi tutarlarıyla iliskili olduğundan netleştirilmektedir. Ertelenmiş vergi alacağı ve yükümlülüğü de netleştirilmektedir.</w:t>
      </w:r>
    </w:p>
    <w:p>
      <w:pPr>
        <w:tabs>
          <w:tab w:val="left" w:pos="630"/>
        </w:tabs>
        <w:ind w:left="709"/>
        <w:jc w:val="both"/>
        <w:rPr>
          <w:b/>
          <w:bCs/>
          <w:sz w:val="22"/>
          <w:szCs w:val="22"/>
        </w:rPr>
      </w:pPr>
    </w:p>
    <w:p>
      <w:pPr>
        <w:tabs>
          <w:tab w:val="left" w:pos="630"/>
        </w:tabs>
        <w:ind w:left="709" w:hanging="709"/>
        <w:jc w:val="both"/>
        <w:rPr>
          <w:b/>
          <w:bCs/>
          <w:sz w:val="22"/>
          <w:szCs w:val="22"/>
        </w:rPr>
      </w:pPr>
      <w:r>
        <w:rPr>
          <w:b/>
          <w:bCs/>
          <w:sz w:val="22"/>
          <w:szCs w:val="22"/>
        </w:rPr>
        <w:t>XVI</w:t>
      </w:r>
      <w:r>
        <w:rPr>
          <w:b/>
          <w:bCs/>
          <w:sz w:val="22"/>
          <w:szCs w:val="22"/>
        </w:rPr>
        <w:t>I</w:t>
      </w:r>
      <w:r>
        <w:rPr>
          <w:b/>
          <w:bCs/>
          <w:sz w:val="22"/>
          <w:szCs w:val="22"/>
        </w:rPr>
        <w:t>-</w:t>
      </w:r>
      <w:r>
        <w:rPr>
          <w:b/>
          <w:bCs/>
          <w:sz w:val="22"/>
          <w:szCs w:val="22"/>
        </w:rPr>
        <w:tab/>
      </w:r>
      <w:r>
        <w:rPr>
          <w:b/>
          <w:bCs/>
          <w:sz w:val="22"/>
          <w:szCs w:val="22"/>
        </w:rPr>
        <w:tab/>
      </w:r>
      <w:r>
        <w:rPr>
          <w:b/>
          <w:bCs/>
          <w:sz w:val="22"/>
          <w:szCs w:val="22"/>
        </w:rPr>
        <w:t>Borçlanmalara ilişkin ilave açıklamalar:</w:t>
      </w:r>
    </w:p>
    <w:p>
      <w:pPr>
        <w:tabs>
          <w:tab w:val="left" w:pos="709"/>
        </w:tabs>
        <w:ind w:left="709" w:hanging="709"/>
        <w:jc w:val="both"/>
        <w:rPr>
          <w:b/>
          <w:bCs/>
          <w:sz w:val="20"/>
          <w:szCs w:val="20"/>
        </w:rPr>
      </w:pPr>
    </w:p>
    <w:p>
      <w:pPr>
        <w:ind w:left="709" w:hanging="630"/>
        <w:jc w:val="both"/>
        <w:rPr>
          <w:sz w:val="22"/>
          <w:szCs w:val="22"/>
        </w:rPr>
      </w:pPr>
      <w:r>
        <w:rPr>
          <w:rFonts w:eastAsia="Arial Unicode MS"/>
          <w:bCs/>
          <w:sz w:val="22"/>
          <w:szCs w:val="22"/>
        </w:rPr>
        <w:tab/>
      </w:r>
      <w:r>
        <w:rPr>
          <w:rFonts w:eastAsia="Arial Unicode MS"/>
          <w:bCs/>
          <w:sz w:val="22"/>
          <w:szCs w:val="22"/>
        </w:rPr>
        <w:t>Banka, borçlanma araçlarını “Finansal Araçlar: Muhasebeleştirme ve Ölçmeye İlişkin Türkiye Muhasebe Standardı” (TMS 39) hükümleri gereği muhasebeleştirmekte olup, tüm finansal yükümlülüklerini kayda alınmalarını izleyen dönemlerde “etkin faiz oranı (iç verim) yöntemi” ile</w:t>
      </w:r>
      <w:r>
        <w:rPr>
          <w:rFonts w:eastAsia="Arial Unicode MS"/>
          <w:bCs/>
          <w:sz w:val="22"/>
          <w:szCs w:val="22"/>
        </w:rPr>
        <w:t xml:space="preserve"> </w:t>
      </w:r>
      <w:r>
        <w:rPr>
          <w:rFonts w:eastAsia="Arial Unicode MS"/>
          <w:bCs/>
          <w:sz w:val="22"/>
          <w:szCs w:val="22"/>
        </w:rPr>
        <w:t>değerlemektedir. Borçlanma araçlarının muhasebeleştirilme ve değerleme yöntemleri ile borçlanmayı temsil eden yükümlülükler açısından riskten korunma tekniklerini uygulamayı gerektiren borçlanma bulunmamaktadır.</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sağlamış ve sağlamakta olduğu finansal desteği, yurt içi ve yurt dışı piyasalardan kaynak temin ederek sürdürmektedir. Banka</w:t>
      </w:r>
      <w:r>
        <w:rPr>
          <w:sz w:val="22"/>
          <w:szCs w:val="22"/>
        </w:rPr>
        <w:t xml:space="preserve"> </w:t>
      </w:r>
      <w:r>
        <w:rPr>
          <w:sz w:val="22"/>
          <w:szCs w:val="22"/>
        </w:rPr>
        <w:t>yurt içinde çeşitli Bütçe kaynaklı fonların kullandırılmasında aracılık görevini üstlen</w:t>
      </w:r>
      <w:r>
        <w:rPr>
          <w:sz w:val="22"/>
          <w:szCs w:val="22"/>
        </w:rPr>
        <w:t>mektedir. Temin edilen fonlar a</w:t>
      </w:r>
      <w:r>
        <w:rPr>
          <w:sz w:val="22"/>
          <w:szCs w:val="22"/>
        </w:rPr>
        <w:t>ktarım tarihinde Banka</w:t>
      </w:r>
      <w:r>
        <w:rPr>
          <w:sz w:val="22"/>
          <w:szCs w:val="22"/>
        </w:rPr>
        <w:t>’</w:t>
      </w:r>
      <w:r>
        <w:rPr>
          <w:sz w:val="22"/>
          <w:szCs w:val="22"/>
        </w:rPr>
        <w:t>nın kaynak hesaplarına kaydedilmektedir. Bu fonların vade ve faiz oranları kamu otoritesi tarafından Yatırımları Teşvik Tebliğleri</w:t>
      </w:r>
      <w:r>
        <w:rPr>
          <w:sz w:val="22"/>
          <w:szCs w:val="22"/>
        </w:rPr>
        <w:t xml:space="preserve"> i</w:t>
      </w:r>
      <w:r>
        <w:rPr>
          <w:sz w:val="22"/>
          <w:szCs w:val="22"/>
        </w:rPr>
        <w:t xml:space="preserve">le belirlenmektedir.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nın yurt dışından sağlamış olduğu mevcut kaynakları ise Dünya Bankası’ndan, Avrupa</w:t>
      </w:r>
      <w:r>
        <w:rPr>
          <w:sz w:val="22"/>
          <w:szCs w:val="22"/>
        </w:rPr>
        <w:t xml:space="preserve"> Yatırım ve Avrupa Konseyi Kalkınma </w:t>
      </w:r>
      <w:r>
        <w:rPr>
          <w:sz w:val="22"/>
          <w:szCs w:val="22"/>
        </w:rPr>
        <w:t>Bankalarından, İslam Kalkınma Bankası</w:t>
      </w:r>
      <w:r>
        <w:rPr>
          <w:sz w:val="22"/>
          <w:szCs w:val="22"/>
        </w:rPr>
        <w:t>’</w:t>
      </w:r>
      <w:r>
        <w:rPr>
          <w:sz w:val="22"/>
          <w:szCs w:val="22"/>
        </w:rPr>
        <w:t>ndan ve Fransız Kalkınma Ajansı</w:t>
      </w:r>
      <w:r>
        <w:rPr>
          <w:sz w:val="22"/>
          <w:szCs w:val="22"/>
        </w:rPr>
        <w:t>’</w:t>
      </w:r>
      <w:r>
        <w:rPr>
          <w:sz w:val="22"/>
          <w:szCs w:val="22"/>
        </w:rPr>
        <w:t>ndan temin edilen orta ve uzun vadeli krediler olup, temin edildiği tarihte ve temin tarihindeki maliyeti ile Banka hesaplarına kaydedilmektedir.</w:t>
      </w:r>
      <w:r>
        <w:rPr>
          <w:sz w:val="22"/>
          <w:szCs w:val="22"/>
        </w:rPr>
        <w:t xml:space="preserve">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genel olarak vade, faiz oranı, faiz tipi ve döviz cinsi olarak borçlanma koşullarına paralel</w:t>
      </w:r>
      <w:r>
        <w:rPr>
          <w:sz w:val="22"/>
          <w:szCs w:val="22"/>
        </w:rPr>
        <w:t xml:space="preserve"> </w:t>
      </w:r>
      <w:r>
        <w:rPr>
          <w:sz w:val="22"/>
          <w:szCs w:val="22"/>
        </w:rPr>
        <w:t>kredilendirmeyi tercih ederek</w:t>
      </w:r>
      <w:r>
        <w:rPr>
          <w:sz w:val="22"/>
          <w:szCs w:val="22"/>
        </w:rPr>
        <w:t xml:space="preserve"> </w:t>
      </w:r>
      <w:r>
        <w:rPr>
          <w:sz w:val="22"/>
          <w:szCs w:val="22"/>
        </w:rPr>
        <w:t>vade, kur riski ve likidite riskinden korunmayı amaçlamaktadır.</w:t>
      </w:r>
    </w:p>
    <w:p>
      <w:pPr>
        <w:tabs>
          <w:tab w:val="left" w:pos="630"/>
        </w:tabs>
        <w:ind w:left="630" w:hanging="630"/>
        <w:jc w:val="both"/>
        <w:rPr>
          <w:i/>
          <w:iCs/>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nın halihazırda ihraç edilmiş hisse senedine dönüştürülebilir tahvil ya da borçlanmayı temsil eden araçları bulunmamaktadır.</w:t>
      </w:r>
    </w:p>
    <w:p>
      <w:pPr>
        <w:tabs>
          <w:tab w:val="left" w:pos="709"/>
        </w:tabs>
        <w:ind w:left="709" w:hanging="709"/>
        <w:jc w:val="both"/>
        <w:rPr>
          <w:sz w:val="20"/>
          <w:szCs w:val="20"/>
        </w:rPr>
      </w:pPr>
    </w:p>
    <w:p>
      <w:pPr>
        <w:pStyle w:val="BodyText2"/>
        <w:tabs>
          <w:tab w:val="left" w:pos="709"/>
        </w:tabs>
        <w:ind w:left="709" w:hanging="709"/>
        <w:rPr>
          <w:b/>
          <w:sz w:val="22"/>
          <w:szCs w:val="22"/>
        </w:rPr>
      </w:pPr>
      <w:r>
        <w:rPr>
          <w:b/>
          <w:sz w:val="22"/>
          <w:szCs w:val="22"/>
        </w:rPr>
        <w:t>XVII</w:t>
      </w:r>
      <w:r>
        <w:rPr>
          <w:b/>
          <w:sz w:val="22"/>
          <w:szCs w:val="22"/>
        </w:rPr>
        <w:t>I</w:t>
      </w:r>
      <w:r>
        <w:rPr>
          <w:b/>
          <w:sz w:val="22"/>
          <w:szCs w:val="22"/>
        </w:rPr>
        <w:t>-</w:t>
      </w:r>
      <w:r>
        <w:rPr>
          <w:b/>
          <w:sz w:val="22"/>
          <w:szCs w:val="22"/>
        </w:rPr>
        <w:tab/>
      </w:r>
      <w:r>
        <w:rPr>
          <w:b/>
          <w:sz w:val="22"/>
          <w:szCs w:val="22"/>
        </w:rPr>
        <w:tab/>
      </w:r>
      <w:r>
        <w:rPr>
          <w:b/>
          <w:sz w:val="22"/>
          <w:szCs w:val="22"/>
        </w:rPr>
        <w:t>İhraç edilen hisse senetlerine ilişkin açıklamalar:</w:t>
      </w:r>
    </w:p>
    <w:p>
      <w:pPr>
        <w:pStyle w:val="BodyText"/>
        <w:tabs>
          <w:tab w:val="clear" w:pos="0"/>
          <w:tab w:val="clear" w:pos="720"/>
          <w:tab w:val="left" w:pos="709"/>
        </w:tabs>
        <w:ind w:left="709" w:hanging="709"/>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 xml:space="preserve">Hisse senedi ihracı ile ilgili </w:t>
      </w:r>
      <w:r>
        <w:rPr>
          <w:sz w:val="22"/>
          <w:szCs w:val="22"/>
        </w:rPr>
        <w:t>işlem maliyetleri gider olarak muhasebeleştirilir.</w:t>
      </w:r>
    </w:p>
    <w:p>
      <w:pPr>
        <w:tabs>
          <w:tab w:val="left" w:pos="630"/>
        </w:tabs>
        <w:ind w:left="630" w:hanging="630"/>
        <w:jc w:val="both"/>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Banka’nın 20</w:t>
      </w:r>
      <w:r>
        <w:rPr>
          <w:sz w:val="22"/>
          <w:szCs w:val="22"/>
        </w:rPr>
        <w:t>10</w:t>
      </w:r>
      <w:r>
        <w:rPr>
          <w:sz w:val="22"/>
          <w:szCs w:val="22"/>
        </w:rPr>
        <w:t xml:space="preserve"> yılı</w:t>
      </w:r>
      <w:r>
        <w:rPr>
          <w:sz w:val="22"/>
          <w:szCs w:val="22"/>
        </w:rPr>
        <w:t xml:space="preserve"> ve 20</w:t>
      </w:r>
      <w:r>
        <w:rPr>
          <w:sz w:val="22"/>
          <w:szCs w:val="22"/>
        </w:rPr>
        <w:t>1</w:t>
      </w:r>
      <w:r>
        <w:rPr>
          <w:sz w:val="22"/>
          <w:szCs w:val="22"/>
        </w:rPr>
        <w:t>1</w:t>
      </w:r>
      <w:r>
        <w:rPr>
          <w:sz w:val="22"/>
          <w:szCs w:val="22"/>
        </w:rPr>
        <w:t xml:space="preserve"> yılı</w:t>
      </w:r>
      <w:r>
        <w:rPr>
          <w:sz w:val="22"/>
          <w:szCs w:val="22"/>
        </w:rPr>
        <w:t xml:space="preserve">nın ilk </w:t>
      </w:r>
      <w:r>
        <w:rPr>
          <w:sz w:val="22"/>
          <w:szCs w:val="22"/>
        </w:rPr>
        <w:t>6</w:t>
      </w:r>
      <w:r>
        <w:rPr>
          <w:sz w:val="22"/>
          <w:szCs w:val="22"/>
        </w:rPr>
        <w:t xml:space="preserve"> aylık dönemi</w:t>
      </w:r>
      <w:r>
        <w:rPr>
          <w:sz w:val="22"/>
          <w:szCs w:val="22"/>
        </w:rPr>
        <w:t xml:space="preserve"> içerisinde hisse senedi ihracı olmamıştır. </w:t>
      </w:r>
    </w:p>
    <w:p>
      <w:pPr>
        <w:pStyle w:val="BodyText2"/>
        <w:tabs>
          <w:tab w:val="left" w:pos="709"/>
        </w:tabs>
        <w:ind w:left="709" w:hanging="709"/>
        <w:rPr>
          <w:sz w:val="20"/>
          <w:szCs w:val="20"/>
        </w:rPr>
      </w:pPr>
    </w:p>
    <w:p>
      <w:pPr>
        <w:pStyle w:val="BodyText2"/>
        <w:tabs>
          <w:tab w:val="left" w:pos="709"/>
        </w:tabs>
        <w:ind w:left="709" w:hanging="709"/>
        <w:rPr>
          <w:b/>
          <w:sz w:val="22"/>
          <w:szCs w:val="22"/>
        </w:rPr>
      </w:pPr>
      <w:r>
        <w:rPr>
          <w:b/>
          <w:sz w:val="22"/>
          <w:szCs w:val="22"/>
        </w:rPr>
        <w:t>X</w:t>
      </w:r>
      <w:r>
        <w:rPr>
          <w:b/>
          <w:sz w:val="22"/>
          <w:szCs w:val="22"/>
        </w:rPr>
        <w:t>IX</w:t>
      </w:r>
      <w:r>
        <w:rPr>
          <w:b/>
          <w:sz w:val="22"/>
          <w:szCs w:val="22"/>
        </w:rPr>
        <w:t>-</w:t>
      </w:r>
      <w:r>
        <w:rPr>
          <w:b/>
          <w:sz w:val="22"/>
          <w:szCs w:val="22"/>
        </w:rPr>
        <w:t xml:space="preserve"> </w:t>
      </w:r>
      <w:r>
        <w:rPr>
          <w:b/>
          <w:sz w:val="22"/>
          <w:szCs w:val="22"/>
        </w:rPr>
        <w:tab/>
      </w:r>
      <w:r>
        <w:rPr>
          <w:b/>
          <w:sz w:val="22"/>
          <w:szCs w:val="22"/>
        </w:rPr>
        <w:t>Aval ve kabullere ilişkin açıklamalar:</w:t>
      </w:r>
    </w:p>
    <w:p>
      <w:pPr>
        <w:tabs>
          <w:tab w:val="left" w:pos="709"/>
        </w:tabs>
        <w:ind w:left="709" w:hanging="709"/>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Aval ve kabüller</w:t>
      </w:r>
      <w:r>
        <w:rPr>
          <w:sz w:val="22"/>
          <w:szCs w:val="22"/>
        </w:rPr>
        <w:t>,</w:t>
      </w:r>
      <w:r>
        <w:rPr>
          <w:sz w:val="22"/>
          <w:szCs w:val="22"/>
        </w:rPr>
        <w:t xml:space="preserve"> Banka’nın olası borç taahhütleri olarak “Bilanço </w:t>
      </w:r>
      <w:r>
        <w:rPr>
          <w:sz w:val="22"/>
          <w:szCs w:val="22"/>
        </w:rPr>
        <w:t>D</w:t>
      </w:r>
      <w:r>
        <w:rPr>
          <w:sz w:val="22"/>
          <w:szCs w:val="22"/>
        </w:rPr>
        <w:t xml:space="preserve">ışı </w:t>
      </w:r>
      <w:r>
        <w:rPr>
          <w:sz w:val="22"/>
          <w:szCs w:val="22"/>
        </w:rPr>
        <w:t>Y</w:t>
      </w:r>
      <w:r>
        <w:rPr>
          <w:sz w:val="22"/>
          <w:szCs w:val="22"/>
        </w:rPr>
        <w:t xml:space="preserve">ükümlülükler” </w:t>
      </w:r>
      <w:r>
        <w:rPr>
          <w:sz w:val="22"/>
          <w:szCs w:val="22"/>
        </w:rPr>
        <w:t>altında</w:t>
      </w:r>
      <w:r>
        <w:rPr>
          <w:sz w:val="22"/>
          <w:szCs w:val="22"/>
        </w:rPr>
        <w:t xml:space="preserve"> gösterilmektedir. </w:t>
      </w:r>
    </w:p>
    <w:p>
      <w:pPr>
        <w:tabs>
          <w:tab w:val="left" w:pos="709"/>
        </w:tabs>
        <w:ind w:left="709" w:hanging="709"/>
        <w:jc w:val="both"/>
        <w:rPr>
          <w:b/>
          <w:bCs/>
          <w:sz w:val="20"/>
          <w:szCs w:val="20"/>
        </w:rPr>
      </w:pPr>
    </w:p>
    <w:p>
      <w:pPr>
        <w:tabs>
          <w:tab w:val="left" w:pos="709"/>
        </w:tabs>
        <w:ind w:left="709" w:hanging="709"/>
        <w:jc w:val="both"/>
        <w:rPr>
          <w:b/>
          <w:bCs/>
          <w:sz w:val="22"/>
          <w:szCs w:val="22"/>
        </w:rPr>
      </w:pPr>
      <w:r>
        <w:rPr>
          <w:b/>
          <w:bCs/>
          <w:sz w:val="22"/>
          <w:szCs w:val="22"/>
        </w:rPr>
        <w:t>XX-</w:t>
      </w:r>
      <w:r>
        <w:rPr>
          <w:b/>
          <w:bCs/>
          <w:sz w:val="22"/>
          <w:szCs w:val="22"/>
        </w:rPr>
        <w:t xml:space="preserve"> </w:t>
      </w:r>
      <w:r>
        <w:rPr>
          <w:b/>
          <w:bCs/>
          <w:sz w:val="22"/>
          <w:szCs w:val="22"/>
        </w:rPr>
        <w:tab/>
      </w:r>
      <w:r>
        <w:rPr>
          <w:b/>
          <w:bCs/>
          <w:sz w:val="22"/>
          <w:szCs w:val="22"/>
        </w:rPr>
        <w:t xml:space="preserve">Devlet teşviklerine ilişkin açıklamalar: </w:t>
      </w:r>
    </w:p>
    <w:p>
      <w:pPr>
        <w:tabs>
          <w:tab w:val="left" w:pos="709"/>
        </w:tabs>
        <w:ind w:left="709" w:hanging="709"/>
        <w:jc w:val="both"/>
        <w:rPr>
          <w:b/>
          <w:bCs/>
          <w:sz w:val="20"/>
          <w:szCs w:val="20"/>
        </w:rPr>
      </w:pPr>
    </w:p>
    <w:p>
      <w:pPr>
        <w:tabs>
          <w:tab w:val="num" w:pos="567"/>
          <w:tab w:val="left" w:pos="709"/>
        </w:tabs>
        <w:jc w:val="both"/>
        <w:rPr>
          <w:sz w:val="22"/>
          <w:szCs w:val="22"/>
        </w:rPr>
      </w:pPr>
      <w:r>
        <w:rPr>
          <w:sz w:val="22"/>
          <w:szCs w:val="22"/>
        </w:rPr>
        <w:tab/>
      </w:r>
      <w:r>
        <w:rPr>
          <w:sz w:val="22"/>
          <w:szCs w:val="22"/>
        </w:rPr>
        <w:tab/>
      </w:r>
      <w:r>
        <w:rPr>
          <w:sz w:val="22"/>
          <w:szCs w:val="22"/>
        </w:rPr>
        <w:t>Banka</w:t>
      </w:r>
      <w:r>
        <w:rPr>
          <w:sz w:val="22"/>
          <w:szCs w:val="22"/>
        </w:rPr>
        <w:t>’</w:t>
      </w:r>
      <w:r>
        <w:rPr>
          <w:sz w:val="22"/>
          <w:szCs w:val="22"/>
        </w:rPr>
        <w:t xml:space="preserve">nın cari ve önceki dönemde </w:t>
      </w:r>
      <w:r>
        <w:rPr>
          <w:sz w:val="22"/>
          <w:szCs w:val="22"/>
        </w:rPr>
        <w:t xml:space="preserve">yararlanmış </w:t>
      </w:r>
      <w:r>
        <w:rPr>
          <w:sz w:val="22"/>
          <w:szCs w:val="22"/>
        </w:rPr>
        <w:t>olduğu devlet teşviği bulunmamaktadır.</w:t>
      </w:r>
    </w:p>
    <w:p>
      <w:pPr>
        <w:tabs>
          <w:tab w:val="num" w:pos="567"/>
          <w:tab w:val="left" w:pos="709"/>
        </w:tabs>
        <w:jc w:val="both"/>
        <w:rPr>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w:t>
      </w:r>
    </w:p>
    <w:p>
      <w:pPr>
        <w:tabs>
          <w:tab w:val="left" w:pos="709"/>
        </w:tabs>
        <w:ind w:left="709" w:hanging="709"/>
        <w:jc w:val="both"/>
        <w:rPr>
          <w:sz w:val="20"/>
          <w:szCs w:val="20"/>
        </w:rPr>
      </w:pPr>
    </w:p>
    <w:p>
      <w:pPr>
        <w:tabs>
          <w:tab w:val="left" w:pos="709"/>
        </w:tabs>
        <w:ind w:left="709" w:hanging="709"/>
        <w:jc w:val="both"/>
        <w:rPr>
          <w:sz w:val="22"/>
          <w:szCs w:val="22"/>
        </w:rPr>
      </w:pPr>
      <w:r>
        <w:rPr>
          <w:sz w:val="22"/>
          <w:szCs w:val="22"/>
        </w:rPr>
        <w:tab/>
        <w:t>Banka’nın yatırım bankacılığı faaliyetlerinin yanı sıra Hazine</w:t>
      </w:r>
      <w:r>
        <w:rPr>
          <w:sz w:val="22"/>
          <w:szCs w:val="22"/>
        </w:rPr>
        <w:t xml:space="preserve"> Daire Başkanlığı </w:t>
      </w:r>
      <w:r>
        <w:rPr>
          <w:sz w:val="22"/>
          <w:szCs w:val="22"/>
        </w:rPr>
        <w:t xml:space="preserve"> tarafından Banka’nın yatırım fonları alım-satımı, hazine bonosu, devlet tahvili alım-satımı, repo işlemleri </w:t>
      </w:r>
      <w:r>
        <w:rPr>
          <w:sz w:val="22"/>
          <w:szCs w:val="22"/>
        </w:rPr>
        <w:t>ile</w:t>
      </w:r>
      <w:r>
        <w:rPr>
          <w:sz w:val="22"/>
          <w:szCs w:val="22"/>
        </w:rPr>
        <w:t xml:space="preserve"> para swapları</w:t>
      </w:r>
      <w:r>
        <w:rPr>
          <w:sz w:val="22"/>
          <w:szCs w:val="22"/>
        </w:rPr>
        <w:t xml:space="preserve"> ve vadeli döviz alım-satım işlemleri </w:t>
      </w:r>
      <w:r>
        <w:rPr>
          <w:sz w:val="22"/>
          <w:szCs w:val="22"/>
        </w:rPr>
        <w:t xml:space="preserve"> yapılmaktadır.</w:t>
      </w:r>
    </w:p>
    <w:p>
      <w:pPr>
        <w:tabs>
          <w:tab w:val="left" w:pos="709"/>
        </w:tabs>
        <w:ind w:left="709" w:hanging="709"/>
        <w:jc w:val="both"/>
        <w:rPr>
          <w:sz w:val="22"/>
          <w:szCs w:val="22"/>
        </w:rPr>
      </w:pPr>
      <w:r>
        <w:rPr>
          <w:sz w:val="22"/>
          <w:szCs w:val="22"/>
        </w:rPr>
        <w:br w:type="page"/>
      </w:r>
    </w:p>
    <w:p>
      <w:pPr>
        <w:tabs>
          <w:tab w:val="left" w:pos="709"/>
        </w:tabs>
        <w:ind w:left="709" w:hanging="709"/>
        <w:jc w:val="both"/>
        <w:rPr>
          <w:b/>
          <w:bCs/>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açıklamalar(devam ediyor):</w:t>
      </w:r>
    </w:p>
    <w:p>
      <w:pPr>
        <w:tabs>
          <w:tab w:val="left" w:pos="709"/>
        </w:tabs>
        <w:ind w:left="709" w:hanging="709"/>
        <w:jc w:val="both"/>
        <w:rPr>
          <w:sz w:val="20"/>
          <w:szCs w:val="20"/>
        </w:rPr>
      </w:pPr>
    </w:p>
    <w:p>
      <w:pPr>
        <w:tabs>
          <w:tab w:val="left" w:pos="709"/>
        </w:tabs>
        <w:ind w:left="709" w:hanging="709"/>
        <w:jc w:val="both"/>
        <w:rPr>
          <w:sz w:val="22"/>
          <w:szCs w:val="22"/>
        </w:rPr>
      </w:pPr>
      <w:r>
        <w:rPr>
          <w:sz w:val="22"/>
          <w:szCs w:val="22"/>
        </w:rPr>
        <w:tab/>
      </w:r>
      <w:r>
        <w:rPr>
          <w:sz w:val="22"/>
          <w:szCs w:val="22"/>
        </w:rPr>
        <w:t>Ayrıca Banka</w:t>
      </w:r>
      <w:r>
        <w:rPr>
          <w:sz w:val="22"/>
          <w:szCs w:val="22"/>
        </w:rPr>
        <w:t>’</w:t>
      </w:r>
      <w:r>
        <w:rPr>
          <w:sz w:val="22"/>
          <w:szCs w:val="22"/>
        </w:rPr>
        <w:t xml:space="preserve">nın bağlı ortaklığı olan Kalkınma Yatırım Menkul Değerler A.Ş. tarafından </w:t>
      </w:r>
      <w:r>
        <w:rPr>
          <w:sz w:val="22"/>
          <w:szCs w:val="22"/>
        </w:rPr>
        <w:t xml:space="preserve">31 Aralık 2009 tarihine kadar </w:t>
      </w:r>
      <w:r>
        <w:rPr>
          <w:sz w:val="22"/>
          <w:szCs w:val="22"/>
        </w:rPr>
        <w:t xml:space="preserve">yönetilen </w:t>
      </w:r>
      <w:r>
        <w:rPr>
          <w:sz w:val="22"/>
          <w:szCs w:val="22"/>
        </w:rPr>
        <w:t>y</w:t>
      </w:r>
      <w:r>
        <w:rPr>
          <w:sz w:val="22"/>
          <w:szCs w:val="22"/>
        </w:rPr>
        <w:t>atırım</w:t>
      </w:r>
      <w:r>
        <w:rPr>
          <w:sz w:val="22"/>
          <w:szCs w:val="22"/>
        </w:rPr>
        <w:t xml:space="preserve"> </w:t>
      </w:r>
      <w:r>
        <w:rPr>
          <w:sz w:val="22"/>
          <w:szCs w:val="22"/>
        </w:rPr>
        <w:t>f</w:t>
      </w:r>
      <w:r>
        <w:rPr>
          <w:sz w:val="22"/>
          <w:szCs w:val="22"/>
        </w:rPr>
        <w:t>onları</w:t>
      </w:r>
      <w:r>
        <w:rPr>
          <w:sz w:val="22"/>
          <w:szCs w:val="22"/>
        </w:rPr>
        <w:t>,</w:t>
      </w:r>
      <w:r>
        <w:rPr>
          <w:sz w:val="22"/>
          <w:szCs w:val="22"/>
        </w:rPr>
        <w:t xml:space="preserve"> </w:t>
      </w:r>
      <w:r>
        <w:rPr>
          <w:sz w:val="22"/>
          <w:szCs w:val="22"/>
        </w:rPr>
        <w:t>BDDK’dan izin, SPK’dan “Portföy Yöneticiliği Yetki Belgesi” alın</w:t>
      </w:r>
      <w:r>
        <w:rPr>
          <w:sz w:val="22"/>
          <w:szCs w:val="22"/>
        </w:rPr>
        <w:t>arak</w:t>
      </w:r>
      <w:r>
        <w:rPr>
          <w:sz w:val="22"/>
          <w:szCs w:val="22"/>
        </w:rPr>
        <w:t xml:space="preserve">, </w:t>
      </w:r>
      <w:r>
        <w:rPr>
          <w:sz w:val="22"/>
          <w:szCs w:val="22"/>
        </w:rPr>
        <w:t>17 Mart 2010</w:t>
      </w:r>
      <w:r>
        <w:rPr>
          <w:sz w:val="22"/>
          <w:szCs w:val="22"/>
        </w:rPr>
        <w:t xml:space="preserve"> tarihinden itibaren </w:t>
      </w:r>
      <w:r>
        <w:rPr>
          <w:sz w:val="22"/>
          <w:szCs w:val="22"/>
        </w:rPr>
        <w:t>Banka’nın</w:t>
      </w:r>
      <w:r>
        <w:rPr>
          <w:sz w:val="22"/>
          <w:szCs w:val="22"/>
        </w:rPr>
        <w:t xml:space="preserve"> Hazine </w:t>
      </w:r>
      <w:r>
        <w:rPr>
          <w:sz w:val="22"/>
          <w:szCs w:val="22"/>
        </w:rPr>
        <w:t xml:space="preserve"> Daire Başkanlığı’nca</w:t>
      </w:r>
      <w:r>
        <w:rPr>
          <w:sz w:val="22"/>
          <w:szCs w:val="22"/>
        </w:rPr>
        <w:t xml:space="preserve"> yönetilmektedir.</w:t>
      </w:r>
    </w:p>
    <w:p>
      <w:pPr>
        <w:tabs>
          <w:tab w:val="left" w:pos="709"/>
        </w:tabs>
        <w:ind w:left="709" w:hanging="709"/>
        <w:jc w:val="both"/>
        <w:rPr>
          <w:sz w:val="20"/>
          <w:szCs w:val="20"/>
        </w:rPr>
      </w:pPr>
    </w:p>
    <w:p>
      <w:pPr>
        <w:tabs>
          <w:tab w:val="left" w:pos="709"/>
        </w:tabs>
        <w:ind w:left="709" w:hanging="709"/>
        <w:jc w:val="both"/>
        <w:rPr>
          <w:bCs/>
          <w:sz w:val="22"/>
          <w:szCs w:val="22"/>
        </w:rPr>
      </w:pPr>
      <w:r>
        <w:rPr>
          <w:bCs/>
          <w:sz w:val="22"/>
          <w:szCs w:val="22"/>
        </w:rPr>
        <w:tab/>
      </w:r>
      <w:r>
        <w:rPr>
          <w:bCs/>
          <w:sz w:val="22"/>
          <w:szCs w:val="22"/>
        </w:rPr>
        <w:t>“Bankalarca Kamuya Açıklanacak Finansal Tablolar ile Bunlara İlişkin Açıklama ve Dipnotlar Hakkında Tebliğ” çerçevesinde 3</w:t>
      </w:r>
      <w:r>
        <w:rPr>
          <w:bCs/>
          <w:sz w:val="22"/>
          <w:szCs w:val="22"/>
        </w:rPr>
        <w:t>0</w:t>
      </w:r>
      <w:r>
        <w:rPr>
          <w:bCs/>
          <w:sz w:val="22"/>
          <w:szCs w:val="22"/>
        </w:rPr>
        <w:t xml:space="preserve"> </w:t>
      </w:r>
      <w:r>
        <w:rPr>
          <w:bCs/>
          <w:sz w:val="22"/>
          <w:szCs w:val="22"/>
        </w:rPr>
        <w:t>Haziran</w:t>
      </w:r>
      <w:r>
        <w:rPr>
          <w:bCs/>
          <w:sz w:val="22"/>
          <w:szCs w:val="22"/>
        </w:rPr>
        <w:t xml:space="preserve"> </w:t>
      </w:r>
      <w:r>
        <w:rPr>
          <w:bCs/>
          <w:sz w:val="22"/>
          <w:szCs w:val="22"/>
        </w:rPr>
        <w:t xml:space="preserve"> 201</w:t>
      </w:r>
      <w:r>
        <w:rPr>
          <w:bCs/>
          <w:sz w:val="22"/>
          <w:szCs w:val="22"/>
        </w:rPr>
        <w:t>1</w:t>
      </w:r>
      <w:r>
        <w:rPr>
          <w:bCs/>
          <w:sz w:val="22"/>
          <w:szCs w:val="22"/>
        </w:rPr>
        <w:t xml:space="preserve"> tarihi itibarıyla hazırlanan faaliyet bölümlemesine ilişkin bilgiler tablosuna aşağıdaki tabloda yer verilmiştir.</w:t>
      </w:r>
    </w:p>
    <w:p>
      <w:pPr>
        <w:tabs>
          <w:tab w:val="left" w:pos="709"/>
        </w:tabs>
        <w:ind w:left="709" w:hanging="709"/>
        <w:jc w:val="both"/>
        <w:rPr>
          <w:bCs/>
          <w:sz w:val="22"/>
          <w:szCs w:val="22"/>
        </w:rPr>
      </w:pPr>
    </w:p>
    <w:tbl>
      <w:tblPr>
        <w:tblW w:w="938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Cari Dönem</w:t>
            </w:r>
            <w:r>
              <w:rPr>
                <w:b/>
                <w:bCs/>
                <w:sz w:val="16"/>
                <w:szCs w:val="16"/>
              </w:rPr>
              <w:t xml:space="preserve"> (</w:t>
            </w:r>
            <w:r>
              <w:rPr>
                <w:b/>
                <w:bCs/>
                <w:sz w:val="16"/>
                <w:szCs w:val="16"/>
              </w:rPr>
              <w:t>30</w:t>
            </w:r>
            <w:r>
              <w:rPr>
                <w:b/>
                <w:bCs/>
                <w:sz w:val="16"/>
                <w:szCs w:val="16"/>
              </w:rPr>
              <w:t>.</w:t>
            </w:r>
            <w:r>
              <w:rPr>
                <w:b/>
                <w:bCs/>
                <w:sz w:val="16"/>
                <w:szCs w:val="16"/>
              </w:rPr>
              <w:t>06</w:t>
            </w:r>
            <w:r>
              <w:rPr>
                <w:b/>
                <w:bCs/>
                <w:sz w:val="16"/>
                <w:szCs w:val="16"/>
              </w:rPr>
              <w:t>.201</w:t>
            </w:r>
            <w:r>
              <w:rPr>
                <w:b/>
                <w:bCs/>
                <w:sz w:val="16"/>
                <w:szCs w:val="16"/>
              </w:rPr>
              <w:t>1</w:t>
            </w:r>
            <w:r>
              <w:rPr>
                <w:b/>
                <w:bCs/>
                <w:sz w:val="16"/>
                <w:szCs w:val="16"/>
              </w:rPr>
              <w:t>)</w:t>
            </w:r>
          </w:p>
        </w:tc>
        <w:tc>
          <w:tcPr>
            <w:tcW w:w="1163" w:type="dxa"/>
            <w:vMerge w:val="restart"/>
            <w:shd w:val="clear" w:color="auto" w:fill="auto"/>
            <w:vAlign w:val="bottom"/>
            <w:hideMark/>
          </w:tcPr>
          <w:p>
            <w:pPr>
              <w:ind w:right="70"/>
              <w:jc w:val="right"/>
              <w:rPr>
                <w:b/>
                <w:bCs/>
                <w:sz w:val="16"/>
                <w:szCs w:val="16"/>
              </w:rPr>
            </w:pPr>
            <w:r>
              <w:rPr>
                <w:b/>
                <w:bCs/>
                <w:sz w:val="16"/>
                <w:szCs w:val="16"/>
              </w:rPr>
              <w:t>Hazine</w:t>
            </w:r>
          </w:p>
        </w:tc>
        <w:tc>
          <w:tcPr>
            <w:tcW w:w="1276" w:type="dxa"/>
            <w:vMerge w:val="restart"/>
            <w:shd w:val="clear" w:color="auto" w:fill="auto"/>
            <w:vAlign w:val="bottom"/>
            <w:hideMark/>
          </w:tcPr>
          <w:p>
            <w:pPr>
              <w:ind w:right="70"/>
              <w:jc w:val="right"/>
              <w:rPr>
                <w:b/>
                <w:bCs/>
                <w:sz w:val="16"/>
                <w:szCs w:val="16"/>
              </w:rPr>
            </w:pPr>
            <w:r>
              <w:rPr>
                <w:b/>
                <w:bCs/>
                <w:sz w:val="16"/>
                <w:szCs w:val="16"/>
              </w:rPr>
              <w:t>Yatırım</w:t>
            </w:r>
          </w:p>
          <w:p>
            <w:pPr>
              <w:ind w:right="70"/>
              <w:jc w:val="right"/>
              <w:rPr>
                <w:b/>
                <w:bCs/>
                <w:sz w:val="16"/>
                <w:szCs w:val="16"/>
              </w:rPr>
            </w:pPr>
            <w:r>
              <w:rPr>
                <w:b/>
                <w:bCs/>
                <w:sz w:val="16"/>
                <w:szCs w:val="16"/>
              </w:rPr>
              <w:t>Bankacılığı</w:t>
            </w:r>
          </w:p>
        </w:tc>
        <w:tc>
          <w:tcPr>
            <w:tcW w:w="1531" w:type="dxa"/>
            <w:vMerge w:val="restart"/>
            <w:shd w:val="clear" w:color="auto" w:fill="auto"/>
            <w:vAlign w:val="bottom"/>
            <w:hideMark/>
          </w:tcPr>
          <w:p>
            <w:pPr>
              <w:ind w:right="70"/>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70"/>
              <w:jc w:val="right"/>
              <w:rPr>
                <w:b/>
                <w:bCs/>
                <w:sz w:val="16"/>
                <w:szCs w:val="16"/>
              </w:rPr>
            </w:pPr>
            <w:r>
              <w:rPr>
                <w:b/>
                <w:bCs/>
                <w:sz w:val="16"/>
                <w:szCs w:val="16"/>
              </w:rPr>
              <w:t>Banka’nın Toplam Faaliyeti</w:t>
            </w:r>
          </w:p>
        </w:tc>
      </w:tr>
      <w:tr>
        <w:trPr>
          <w:trHeight w:val="225"/>
        </w:trPr>
        <w:tc>
          <w:tcPr>
            <w:tcW w:w="3798" w:type="dxa"/>
            <w:vMerge/>
            <w:vAlign w:val="bottom"/>
            <w:hideMark/>
          </w:tcPr>
          <w:p>
            <w:pPr>
              <w:rPr>
                <w:b/>
                <w:bCs/>
                <w:sz w:val="16"/>
                <w:szCs w:val="16"/>
              </w:rPr>
            </w:pPr>
          </w:p>
        </w:tc>
        <w:tc>
          <w:tcPr>
            <w:tcW w:w="1163" w:type="dxa"/>
            <w:vMerge/>
            <w:vAlign w:val="bottom"/>
            <w:hideMark/>
          </w:tcPr>
          <w:p>
            <w:pPr>
              <w:rPr>
                <w:b/>
                <w:bCs/>
                <w:sz w:val="16"/>
                <w:szCs w:val="16"/>
              </w:rPr>
            </w:pPr>
          </w:p>
        </w:tc>
        <w:tc>
          <w:tcPr>
            <w:tcW w:w="1276" w:type="dxa"/>
            <w:vMerge/>
            <w:vAlign w:val="bottom"/>
            <w:hideMark/>
          </w:tcPr>
          <w:p>
            <w:pPr>
              <w:rPr>
                <w:b/>
                <w:bCs/>
                <w:sz w:val="16"/>
                <w:szCs w:val="16"/>
              </w:rPr>
            </w:pPr>
          </w:p>
        </w:tc>
        <w:tc>
          <w:tcPr>
            <w:tcW w:w="1531" w:type="dxa"/>
            <w:vMerge/>
            <w:vAlign w:val="bottom"/>
            <w:hideMark/>
          </w:tcPr>
          <w:p>
            <w:pPr>
              <w:rPr>
                <w:b/>
                <w:bCs/>
                <w:sz w:val="16"/>
                <w:szCs w:val="16"/>
              </w:rPr>
            </w:pPr>
          </w:p>
        </w:tc>
        <w:tc>
          <w:tcPr>
            <w:tcW w:w="1616" w:type="dxa"/>
            <w:vMerge/>
            <w:vAlign w:val="bottom"/>
            <w:hideMark/>
          </w:tcPr>
          <w:p>
            <w:pPr>
              <w:rPr>
                <w:b/>
                <w:bCs/>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FAALİYET GELİRLERİ/GİDERLERİ</w:t>
            </w:r>
          </w:p>
        </w:tc>
        <w:tc>
          <w:tcPr>
            <w:tcW w:w="1163" w:type="dxa"/>
            <w:shd w:val="clear" w:color="auto" w:fill="auto"/>
            <w:vAlign w:val="bottom"/>
            <w:hideMark/>
          </w:tcPr>
          <w:p>
            <w:pPr>
              <w:rPr>
                <w:sz w:val="16"/>
                <w:szCs w:val="16"/>
              </w:rPr>
            </w:pPr>
          </w:p>
        </w:tc>
        <w:tc>
          <w:tcPr>
            <w:tcW w:w="1276" w:type="dxa"/>
            <w:shd w:val="clear" w:color="auto" w:fill="auto"/>
            <w:vAlign w:val="bottom"/>
            <w:hideMark/>
          </w:tcPr>
          <w:p>
            <w:pPr>
              <w:rPr>
                <w:sz w:val="16"/>
                <w:szCs w:val="16"/>
              </w:rPr>
            </w:pPr>
            <w:r>
              <w:rPr>
                <w:sz w:val="16"/>
                <w:szCs w:val="16"/>
              </w:rPr>
              <w:t> </w:t>
            </w:r>
          </w:p>
        </w:tc>
        <w:tc>
          <w:tcPr>
            <w:tcW w:w="1531" w:type="dxa"/>
            <w:shd w:val="clear" w:color="auto" w:fill="auto"/>
            <w:noWrap/>
            <w:vAlign w:val="bottom"/>
            <w:hideMark/>
          </w:tcPr>
          <w:p>
            <w:pPr>
              <w:rPr>
                <w:sz w:val="16"/>
                <w:szCs w:val="16"/>
              </w:rPr>
            </w:pPr>
            <w:r>
              <w:rPr>
                <w:sz w:val="16"/>
                <w:szCs w:val="16"/>
              </w:rPr>
              <w:t> </w:t>
            </w:r>
          </w:p>
        </w:tc>
        <w:tc>
          <w:tcPr>
            <w:tcW w:w="1616" w:type="dxa"/>
            <w:shd w:val="clear" w:color="auto" w:fill="auto"/>
            <w:noWrap/>
            <w:vAlign w:val="bottom"/>
            <w:hideMark/>
          </w:tcPr>
          <w:p>
            <w:pPr>
              <w:rPr>
                <w:sz w:val="16"/>
                <w:szCs w:val="16"/>
              </w:rPr>
            </w:pPr>
            <w:r>
              <w:rPr>
                <w:sz w:val="16"/>
                <w:szCs w:val="16"/>
              </w:rPr>
              <w:t> </w:t>
            </w:r>
          </w:p>
        </w:tc>
      </w:tr>
      <w:tr>
        <w:trPr>
          <w:trHeight w:val="20"/>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12.317</w:t>
            </w:r>
          </w:p>
        </w:tc>
        <w:tc>
          <w:tcPr>
            <w:tcW w:w="1276" w:type="dxa"/>
            <w:shd w:val="clear" w:color="auto" w:fill="auto"/>
            <w:vAlign w:val="bottom"/>
            <w:hideMark/>
          </w:tcPr>
          <w:p>
            <w:pPr>
              <w:jc w:val="right"/>
              <w:rPr>
                <w:sz w:val="16"/>
                <w:szCs w:val="16"/>
              </w:rPr>
            </w:pPr>
            <w:r>
              <w:rPr>
                <w:sz w:val="16"/>
                <w:szCs w:val="16"/>
              </w:rPr>
              <w:t>36.079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48.396</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36.079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36.079</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3.818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3.818</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8.499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8.499</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w:t>
            </w:r>
            <w:r>
              <w:rPr>
                <w:sz w:val="16"/>
                <w:szCs w:val="16"/>
              </w:rPr>
              <w:t>490</w:t>
            </w:r>
            <w:r>
              <w:rPr>
                <w:sz w:val="16"/>
                <w:szCs w:val="16"/>
              </w:rPr>
              <w:t>)</w:t>
            </w:r>
          </w:p>
        </w:tc>
        <w:tc>
          <w:tcPr>
            <w:tcW w:w="1276" w:type="dxa"/>
            <w:shd w:val="clear" w:color="auto" w:fill="auto"/>
            <w:vAlign w:val="bottom"/>
            <w:hideMark/>
          </w:tcPr>
          <w:p>
            <w:pPr>
              <w:jc w:val="right"/>
              <w:rPr>
                <w:sz w:val="16"/>
                <w:szCs w:val="16"/>
              </w:rPr>
            </w:pPr>
            <w:r>
              <w:rPr>
                <w:sz w:val="16"/>
                <w:szCs w:val="16"/>
              </w:rPr>
              <w:t>(10.984</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(11.474</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(8.518)</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(8.518)</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490</w:t>
            </w:r>
            <w:r>
              <w:rPr>
                <w:sz w:val="16"/>
                <w:szCs w:val="16"/>
              </w:rPr>
              <w:t>)</w:t>
            </w:r>
          </w:p>
        </w:tc>
        <w:tc>
          <w:tcPr>
            <w:tcW w:w="1276" w:type="dxa"/>
            <w:shd w:val="clear" w:color="auto" w:fill="auto"/>
            <w:vAlign w:val="bottom"/>
            <w:hideMark/>
          </w:tcPr>
          <w:p>
            <w:pPr>
              <w:jc w:val="right"/>
              <w:rPr>
                <w:sz w:val="16"/>
                <w:szCs w:val="16"/>
              </w:rPr>
            </w:pPr>
            <w:r>
              <w:rPr>
                <w:sz w:val="16"/>
                <w:szCs w:val="16"/>
              </w:rPr>
              <w:t>(2.466)</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(2.956)</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w:t>
            </w:r>
            <w:r>
              <w:rPr>
                <w:sz w:val="16"/>
                <w:szCs w:val="16"/>
              </w:rPr>
              <w:t>130</w:t>
            </w:r>
            <w:r>
              <w:rPr>
                <w:sz w:val="16"/>
                <w:szCs w:val="16"/>
              </w:rPr>
              <w:t>)</w:t>
            </w:r>
          </w:p>
        </w:tc>
        <w:tc>
          <w:tcPr>
            <w:tcW w:w="1276" w:type="dxa"/>
            <w:shd w:val="clear" w:color="auto" w:fill="auto"/>
            <w:vAlign w:val="bottom"/>
            <w:hideMark/>
          </w:tcPr>
          <w:p>
            <w:pPr>
              <w:jc w:val="right"/>
              <w:rPr>
                <w:sz w:val="16"/>
                <w:szCs w:val="16"/>
              </w:rPr>
            </w:pPr>
            <w:r>
              <w:rPr>
                <w:sz w:val="16"/>
                <w:szCs w:val="16"/>
              </w:rPr>
              <w:t>2.21</w:t>
            </w:r>
            <w:r>
              <w:rPr>
                <w:sz w:val="16"/>
                <w:szCs w:val="16"/>
              </w:rPr>
              <w:t>7</w:t>
            </w:r>
          </w:p>
        </w:tc>
        <w:tc>
          <w:tcPr>
            <w:tcW w:w="1531" w:type="dxa"/>
            <w:shd w:val="clear" w:color="auto" w:fill="auto"/>
            <w:vAlign w:val="bottom"/>
            <w:hideMark/>
          </w:tcPr>
          <w:p>
            <w:pPr>
              <w:jc w:val="right"/>
              <w:rPr>
                <w:sz w:val="16"/>
                <w:szCs w:val="16"/>
              </w:rPr>
            </w:pPr>
            <w:r>
              <w:rPr>
                <w:sz w:val="16"/>
                <w:szCs w:val="16"/>
              </w:rPr>
              <w:t>117</w:t>
            </w:r>
          </w:p>
        </w:tc>
        <w:tc>
          <w:tcPr>
            <w:tcW w:w="1616" w:type="dxa"/>
            <w:shd w:val="clear" w:color="auto" w:fill="auto"/>
            <w:vAlign w:val="bottom"/>
            <w:hideMark/>
          </w:tcPr>
          <w:p>
            <w:pPr>
              <w:jc w:val="right"/>
              <w:rPr>
                <w:sz w:val="16"/>
                <w:szCs w:val="16"/>
              </w:rPr>
            </w:pPr>
            <w:r>
              <w:rPr>
                <w:sz w:val="16"/>
                <w:szCs w:val="16"/>
              </w:rPr>
              <w:t>2.</w:t>
            </w:r>
            <w:r>
              <w:rPr>
                <w:sz w:val="16"/>
                <w:szCs w:val="16"/>
              </w:rPr>
              <w:t>2</w:t>
            </w:r>
            <w:r>
              <w:rPr>
                <w:sz w:val="16"/>
                <w:szCs w:val="16"/>
              </w:rPr>
              <w:t>04</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2.</w:t>
            </w:r>
            <w:r>
              <w:rPr>
                <w:sz w:val="16"/>
                <w:szCs w:val="16"/>
              </w:rPr>
              <w:t>218</w:t>
            </w:r>
          </w:p>
        </w:tc>
        <w:tc>
          <w:tcPr>
            <w:tcW w:w="1531" w:type="dxa"/>
            <w:shd w:val="clear" w:color="auto" w:fill="auto"/>
            <w:vAlign w:val="bottom"/>
            <w:hideMark/>
          </w:tcPr>
          <w:p>
            <w:pPr>
              <w:jc w:val="right"/>
              <w:rPr>
                <w:sz w:val="16"/>
                <w:szCs w:val="16"/>
              </w:rPr>
            </w:pPr>
            <w:r>
              <w:rPr>
                <w:sz w:val="16"/>
                <w:szCs w:val="16"/>
              </w:rPr>
              <w:t>117</w:t>
            </w:r>
          </w:p>
        </w:tc>
        <w:tc>
          <w:tcPr>
            <w:tcW w:w="1616" w:type="dxa"/>
            <w:shd w:val="clear" w:color="auto" w:fill="auto"/>
            <w:vAlign w:val="bottom"/>
            <w:hideMark/>
          </w:tcPr>
          <w:p>
            <w:pPr>
              <w:jc w:val="right"/>
              <w:rPr>
                <w:sz w:val="16"/>
                <w:szCs w:val="16"/>
              </w:rPr>
            </w:pPr>
            <w:r>
              <w:rPr>
                <w:sz w:val="16"/>
                <w:szCs w:val="16"/>
              </w:rPr>
              <w:t>2.</w:t>
            </w:r>
            <w:r>
              <w:rPr>
                <w:sz w:val="16"/>
                <w:szCs w:val="16"/>
              </w:rPr>
              <w:t>335</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w:t>
            </w:r>
            <w:r>
              <w:rPr>
                <w:sz w:val="16"/>
                <w:szCs w:val="16"/>
              </w:rPr>
              <w:t>13</w:t>
            </w:r>
            <w:r>
              <w:rPr>
                <w:sz w:val="16"/>
                <w:szCs w:val="16"/>
              </w:rPr>
              <w:t>1</w:t>
            </w: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(131</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172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172</w:t>
            </w: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w:t>
            </w:r>
            <w:r>
              <w:rPr>
                <w:sz w:val="16"/>
                <w:szCs w:val="16"/>
              </w:rPr>
              <w:t>74</w:t>
            </w:r>
            <w:r>
              <w:rPr>
                <w:sz w:val="16"/>
                <w:szCs w:val="16"/>
              </w:rPr>
              <w:t>)</w:t>
            </w:r>
          </w:p>
        </w:tc>
        <w:tc>
          <w:tcPr>
            <w:tcW w:w="1276" w:type="dxa"/>
            <w:shd w:val="clear" w:color="auto" w:fill="auto"/>
            <w:vAlign w:val="bottom"/>
            <w:hideMark/>
          </w:tcPr>
          <w:p>
            <w:pPr>
              <w:jc w:val="right"/>
              <w:rPr>
                <w:sz w:val="16"/>
                <w:szCs w:val="16"/>
              </w:rPr>
            </w:pPr>
            <w:r>
              <w:rPr>
                <w:sz w:val="16"/>
                <w:szCs w:val="16"/>
              </w:rPr>
              <w:t>603</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529</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81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81</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r>
              <w:rPr>
                <w:sz w:val="16"/>
                <w:szCs w:val="16"/>
              </w:rPr>
              <w:t>(</w:t>
            </w:r>
            <w:r>
              <w:rPr>
                <w:sz w:val="16"/>
                <w:szCs w:val="16"/>
              </w:rPr>
              <w:t>253</w:t>
            </w: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(253)</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98</w:t>
            </w:r>
          </w:p>
        </w:tc>
        <w:tc>
          <w:tcPr>
            <w:tcW w:w="1276" w:type="dxa"/>
            <w:shd w:val="clear" w:color="auto" w:fill="auto"/>
            <w:vAlign w:val="bottom"/>
            <w:hideMark/>
          </w:tcPr>
          <w:p>
            <w:pPr>
              <w:jc w:val="right"/>
              <w:rPr>
                <w:sz w:val="16"/>
                <w:szCs w:val="16"/>
              </w:rPr>
            </w:pPr>
            <w:r>
              <w:rPr>
                <w:sz w:val="16"/>
                <w:szCs w:val="16"/>
              </w:rPr>
              <w:t>603</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701</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57</w:t>
            </w:r>
          </w:p>
        </w:tc>
        <w:tc>
          <w:tcPr>
            <w:tcW w:w="1276" w:type="dxa"/>
            <w:shd w:val="clear" w:color="auto" w:fill="auto"/>
            <w:vAlign w:val="bottom"/>
            <w:hideMark/>
          </w:tcPr>
          <w:p>
            <w:pPr>
              <w:jc w:val="right"/>
              <w:rPr>
                <w:sz w:val="16"/>
                <w:szCs w:val="16"/>
              </w:rPr>
            </w:pPr>
            <w:r>
              <w:rPr>
                <w:sz w:val="16"/>
                <w:szCs w:val="16"/>
              </w:rPr>
              <w:t>7.272</w:t>
            </w:r>
          </w:p>
        </w:tc>
        <w:tc>
          <w:tcPr>
            <w:tcW w:w="1531" w:type="dxa"/>
            <w:shd w:val="clear" w:color="auto" w:fill="auto"/>
            <w:vAlign w:val="bottom"/>
            <w:hideMark/>
          </w:tcPr>
          <w:p>
            <w:pPr>
              <w:jc w:val="right"/>
              <w:rPr>
                <w:sz w:val="16"/>
                <w:szCs w:val="16"/>
              </w:rPr>
            </w:pPr>
            <w:r>
              <w:rPr>
                <w:sz w:val="16"/>
                <w:szCs w:val="16"/>
              </w:rPr>
              <w:t>7</w:t>
            </w:r>
            <w:r>
              <w:rPr>
                <w:sz w:val="16"/>
                <w:szCs w:val="16"/>
              </w:rPr>
              <w:t>19</w:t>
            </w:r>
          </w:p>
        </w:tc>
        <w:tc>
          <w:tcPr>
            <w:tcW w:w="1616" w:type="dxa"/>
            <w:shd w:val="clear" w:color="auto" w:fill="auto"/>
            <w:vAlign w:val="bottom"/>
            <w:hideMark/>
          </w:tcPr>
          <w:p>
            <w:pPr>
              <w:jc w:val="right"/>
              <w:rPr>
                <w:sz w:val="16"/>
                <w:szCs w:val="16"/>
              </w:rPr>
            </w:pPr>
            <w:r>
              <w:rPr>
                <w:sz w:val="16"/>
                <w:szCs w:val="16"/>
              </w:rPr>
              <w:t>8.</w:t>
            </w:r>
            <w:r>
              <w:rPr>
                <w:sz w:val="16"/>
                <w:szCs w:val="16"/>
              </w:rPr>
              <w:t>048</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9.898</w:t>
            </w:r>
            <w:r>
              <w:rPr>
                <w:sz w:val="16"/>
                <w:szCs w:val="16"/>
              </w:rPr>
              <w:t>)</w:t>
            </w:r>
          </w:p>
        </w:tc>
        <w:tc>
          <w:tcPr>
            <w:tcW w:w="1531" w:type="dxa"/>
            <w:shd w:val="clear" w:color="auto" w:fill="auto"/>
            <w:vAlign w:val="bottom"/>
            <w:hideMark/>
          </w:tcPr>
          <w:p>
            <w:pPr>
              <w:jc w:val="right"/>
              <w:rPr>
                <w:sz w:val="16"/>
                <w:szCs w:val="16"/>
              </w:rPr>
            </w:pPr>
            <w:r>
              <w:rPr>
                <w:sz w:val="16"/>
                <w:szCs w:val="16"/>
              </w:rPr>
              <w:t>(2</w:t>
            </w:r>
            <w:r>
              <w:rPr>
                <w:sz w:val="16"/>
                <w:szCs w:val="16"/>
              </w:rPr>
              <w:t>31</w:t>
            </w:r>
            <w:r>
              <w:rPr>
                <w:sz w:val="16"/>
                <w:szCs w:val="16"/>
              </w:rPr>
              <w:t>)</w:t>
            </w:r>
          </w:p>
        </w:tc>
        <w:tc>
          <w:tcPr>
            <w:tcW w:w="1616" w:type="dxa"/>
            <w:shd w:val="clear" w:color="auto" w:fill="auto"/>
            <w:vAlign w:val="bottom"/>
            <w:hideMark/>
          </w:tcPr>
          <w:p>
            <w:pPr>
              <w:jc w:val="right"/>
              <w:rPr>
                <w:sz w:val="16"/>
                <w:szCs w:val="16"/>
              </w:rPr>
            </w:pPr>
            <w:r>
              <w:rPr>
                <w:sz w:val="16"/>
                <w:szCs w:val="16"/>
              </w:rPr>
              <w:t>(10.1</w:t>
            </w:r>
            <w:r>
              <w:rPr>
                <w:sz w:val="16"/>
                <w:szCs w:val="16"/>
              </w:rPr>
              <w:t>29</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(2</w:t>
            </w:r>
            <w:r>
              <w:rPr>
                <w:sz w:val="16"/>
                <w:szCs w:val="16"/>
              </w:rPr>
              <w:t>9</w:t>
            </w:r>
            <w:r>
              <w:rPr>
                <w:sz w:val="16"/>
                <w:szCs w:val="16"/>
              </w:rPr>
              <w:t>.848)</w:t>
            </w:r>
          </w:p>
        </w:tc>
        <w:tc>
          <w:tcPr>
            <w:tcW w:w="1616" w:type="dxa"/>
            <w:shd w:val="clear" w:color="auto" w:fill="auto"/>
            <w:vAlign w:val="bottom"/>
            <w:hideMark/>
          </w:tcPr>
          <w:p>
            <w:pPr>
              <w:jc w:val="right"/>
              <w:rPr>
                <w:sz w:val="16"/>
                <w:szCs w:val="16"/>
              </w:rPr>
            </w:pPr>
            <w:r>
              <w:rPr>
                <w:sz w:val="16"/>
                <w:szCs w:val="16"/>
              </w:rPr>
              <w:t>(29.848)</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7.8</w:t>
            </w:r>
            <w:r>
              <w:rPr>
                <w:sz w:val="16"/>
                <w:szCs w:val="16"/>
              </w:rPr>
              <w:t>98</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(3.144</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 xml:space="preserve">Net Dönem Karı </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4.7</w:t>
            </w:r>
            <w:r>
              <w:rPr>
                <w:sz w:val="16"/>
                <w:szCs w:val="16"/>
              </w:rPr>
              <w:t>54</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sz w:val="16"/>
                <w:szCs w:val="16"/>
              </w:rPr>
            </w:pPr>
            <w:r>
              <w:rPr>
                <w:b/>
                <w:sz w:val="16"/>
                <w:szCs w:val="16"/>
              </w:rPr>
              <w:t xml:space="preserve">BÖLÜM VARLIKLARI </w:t>
            </w:r>
            <w:r>
              <w:rPr>
                <w:b/>
                <w:sz w:val="16"/>
                <w:szCs w:val="16"/>
                <w:vertAlign w:val="superscript"/>
              </w:rPr>
              <w:t>(2)</w:t>
            </w:r>
          </w:p>
        </w:tc>
        <w:tc>
          <w:tcPr>
            <w:tcW w:w="1163" w:type="dxa"/>
            <w:shd w:val="clear" w:color="auto" w:fill="auto"/>
            <w:vAlign w:val="bottom"/>
            <w:hideMark/>
          </w:tcPr>
          <w:p>
            <w:pPr>
              <w:jc w:val="right"/>
              <w:rPr>
                <w:b/>
                <w:sz w:val="16"/>
                <w:szCs w:val="16"/>
              </w:rPr>
            </w:pPr>
            <w:r>
              <w:rPr>
                <w:b/>
                <w:sz w:val="16"/>
                <w:szCs w:val="16"/>
              </w:rPr>
              <w:t>420</w:t>
            </w:r>
            <w:r>
              <w:rPr>
                <w:b/>
                <w:sz w:val="16"/>
                <w:szCs w:val="16"/>
              </w:rPr>
              <w:t>.</w:t>
            </w:r>
            <w:r>
              <w:rPr>
                <w:b/>
                <w:sz w:val="16"/>
                <w:szCs w:val="16"/>
              </w:rPr>
              <w:t>810</w:t>
            </w:r>
          </w:p>
        </w:tc>
        <w:tc>
          <w:tcPr>
            <w:tcW w:w="1276" w:type="dxa"/>
            <w:shd w:val="clear" w:color="auto" w:fill="auto"/>
            <w:vAlign w:val="bottom"/>
            <w:hideMark/>
          </w:tcPr>
          <w:p>
            <w:pPr>
              <w:jc w:val="right"/>
              <w:rPr>
                <w:b/>
                <w:sz w:val="16"/>
                <w:szCs w:val="16"/>
              </w:rPr>
            </w:pPr>
            <w:r>
              <w:rPr>
                <w:b/>
                <w:sz w:val="16"/>
                <w:szCs w:val="16"/>
              </w:rPr>
              <w:t>1.</w:t>
            </w:r>
            <w:r>
              <w:rPr>
                <w:b/>
                <w:sz w:val="16"/>
                <w:szCs w:val="16"/>
              </w:rPr>
              <w:t>52</w:t>
            </w:r>
            <w:r>
              <w:rPr>
                <w:b/>
                <w:sz w:val="16"/>
                <w:szCs w:val="16"/>
              </w:rPr>
              <w:t>1</w:t>
            </w:r>
            <w:r>
              <w:rPr>
                <w:b/>
                <w:sz w:val="16"/>
                <w:szCs w:val="16"/>
              </w:rPr>
              <w:t>.357</w:t>
            </w:r>
          </w:p>
        </w:tc>
        <w:tc>
          <w:tcPr>
            <w:tcW w:w="1531" w:type="dxa"/>
            <w:shd w:val="clear" w:color="auto" w:fill="auto"/>
            <w:vAlign w:val="bottom"/>
            <w:hideMark/>
          </w:tcPr>
          <w:p>
            <w:pPr>
              <w:jc w:val="right"/>
              <w:rPr>
                <w:b/>
                <w:sz w:val="16"/>
                <w:szCs w:val="16"/>
              </w:rPr>
            </w:pPr>
            <w:r>
              <w:rPr>
                <w:b/>
                <w:sz w:val="16"/>
                <w:szCs w:val="16"/>
              </w:rPr>
              <w:t>5</w:t>
            </w:r>
            <w:r>
              <w:rPr>
                <w:b/>
                <w:sz w:val="16"/>
                <w:szCs w:val="16"/>
              </w:rPr>
              <w:t>7</w:t>
            </w:r>
            <w:r>
              <w:rPr>
                <w:b/>
                <w:sz w:val="16"/>
                <w:szCs w:val="16"/>
              </w:rPr>
              <w:t>.</w:t>
            </w:r>
            <w:r>
              <w:rPr>
                <w:b/>
                <w:sz w:val="16"/>
                <w:szCs w:val="16"/>
              </w:rPr>
              <w:t>21</w:t>
            </w:r>
            <w:r>
              <w:rPr>
                <w:b/>
                <w:sz w:val="16"/>
                <w:szCs w:val="16"/>
              </w:rPr>
              <w:t>6</w:t>
            </w:r>
          </w:p>
        </w:tc>
        <w:tc>
          <w:tcPr>
            <w:tcW w:w="1616" w:type="dxa"/>
            <w:shd w:val="clear" w:color="auto" w:fill="auto"/>
            <w:vAlign w:val="bottom"/>
            <w:hideMark/>
          </w:tcPr>
          <w:p>
            <w:pPr>
              <w:jc w:val="right"/>
              <w:rPr>
                <w:b/>
                <w:sz w:val="16"/>
                <w:szCs w:val="16"/>
              </w:rPr>
            </w:pPr>
            <w:r>
              <w:rPr>
                <w:b/>
                <w:sz w:val="16"/>
                <w:szCs w:val="16"/>
              </w:rPr>
              <w:t>1</w:t>
            </w:r>
            <w:r>
              <w:rPr>
                <w:b/>
                <w:sz w:val="16"/>
                <w:szCs w:val="16"/>
              </w:rPr>
              <w:t>.</w:t>
            </w:r>
            <w:r>
              <w:rPr>
                <w:b/>
                <w:sz w:val="16"/>
                <w:szCs w:val="16"/>
              </w:rPr>
              <w:t>999</w:t>
            </w:r>
            <w:r>
              <w:rPr>
                <w:b/>
                <w:sz w:val="16"/>
                <w:szCs w:val="16"/>
              </w:rPr>
              <w:t>.</w:t>
            </w:r>
            <w:r>
              <w:rPr>
                <w:b/>
                <w:sz w:val="16"/>
                <w:szCs w:val="16"/>
              </w:rPr>
              <w:t>383</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6</w:t>
            </w:r>
            <w:r>
              <w:rPr>
                <w:sz w:val="16"/>
                <w:szCs w:val="16"/>
              </w:rPr>
              <w:t>1</w:t>
            </w:r>
            <w:r>
              <w:rPr>
                <w:sz w:val="16"/>
                <w:szCs w:val="16"/>
              </w:rPr>
              <w:t>.</w:t>
            </w:r>
            <w:r>
              <w:rPr>
                <w:sz w:val="16"/>
                <w:szCs w:val="16"/>
              </w:rPr>
              <w:t>9</w:t>
            </w:r>
            <w:r>
              <w:rPr>
                <w:sz w:val="16"/>
                <w:szCs w:val="16"/>
              </w:rPr>
              <w:t>53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w:t>
            </w:r>
            <w:r>
              <w:rPr>
                <w:sz w:val="16"/>
                <w:szCs w:val="16"/>
              </w:rPr>
              <w:t>1.9</w:t>
            </w:r>
            <w:r>
              <w:rPr>
                <w:sz w:val="16"/>
                <w:szCs w:val="16"/>
              </w:rPr>
              <w:t>53</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1</w:t>
            </w:r>
            <w:r>
              <w:rPr>
                <w:sz w:val="16"/>
                <w:szCs w:val="16"/>
              </w:rPr>
              <w:t>6</w:t>
            </w:r>
            <w:r>
              <w:rPr>
                <w:sz w:val="16"/>
                <w:szCs w:val="16"/>
              </w:rPr>
              <w:t>4</w:t>
            </w:r>
            <w:r>
              <w:rPr>
                <w:sz w:val="16"/>
                <w:szCs w:val="16"/>
              </w:rPr>
              <w:t>.</w:t>
            </w:r>
            <w:r>
              <w:rPr>
                <w:sz w:val="16"/>
                <w:szCs w:val="16"/>
              </w:rPr>
              <w:t>06</w:t>
            </w:r>
            <w:r>
              <w:rPr>
                <w:sz w:val="16"/>
                <w:szCs w:val="16"/>
              </w:rPr>
              <w:t>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164.06</w:t>
            </w:r>
            <w:r>
              <w:rPr>
                <w:sz w:val="16"/>
                <w:szCs w:val="16"/>
              </w:rPr>
              <w:t>3</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13</w:t>
            </w:r>
            <w:r>
              <w:rPr>
                <w:sz w:val="16"/>
                <w:szCs w:val="16"/>
              </w:rPr>
              <w:t>6</w:t>
            </w:r>
            <w:r>
              <w:rPr>
                <w:sz w:val="16"/>
                <w:szCs w:val="16"/>
              </w:rPr>
              <w:t>.</w:t>
            </w:r>
            <w:r>
              <w:rPr>
                <w:sz w:val="16"/>
                <w:szCs w:val="16"/>
              </w:rPr>
              <w:t>723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1</w:t>
            </w:r>
            <w:r>
              <w:rPr>
                <w:sz w:val="16"/>
                <w:szCs w:val="16"/>
              </w:rPr>
              <w:t>37</w:t>
            </w:r>
            <w:r>
              <w:rPr>
                <w:sz w:val="16"/>
                <w:szCs w:val="16"/>
              </w:rPr>
              <w:t>.</w:t>
            </w:r>
            <w:r>
              <w:rPr>
                <w:sz w:val="16"/>
                <w:szCs w:val="16"/>
              </w:rPr>
              <w:t>678</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w:t>
            </w:r>
            <w:r>
              <w:rPr>
                <w:sz w:val="16"/>
                <w:szCs w:val="16"/>
              </w:rPr>
              <w:t>499</w:t>
            </w:r>
            <w:r>
              <w:rPr>
                <w:sz w:val="16"/>
                <w:szCs w:val="16"/>
              </w:rPr>
              <w:t>.</w:t>
            </w:r>
            <w:r>
              <w:rPr>
                <w:sz w:val="16"/>
                <w:szCs w:val="16"/>
              </w:rPr>
              <w:t>100</w:t>
            </w:r>
          </w:p>
        </w:tc>
        <w:tc>
          <w:tcPr>
            <w:tcW w:w="1531" w:type="dxa"/>
            <w:shd w:val="clear" w:color="auto" w:fill="auto"/>
            <w:noWrap/>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w:t>
            </w:r>
            <w:r>
              <w:rPr>
                <w:sz w:val="16"/>
                <w:szCs w:val="16"/>
              </w:rPr>
              <w:t>499.100</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58</w:t>
            </w:r>
            <w:r>
              <w:rPr>
                <w:sz w:val="16"/>
                <w:szCs w:val="16"/>
              </w:rPr>
              <w:t>.</w:t>
            </w:r>
            <w:r>
              <w:rPr>
                <w:sz w:val="16"/>
                <w:szCs w:val="16"/>
              </w:rPr>
              <w:t>071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58.071</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12.</w:t>
            </w:r>
            <w:r>
              <w:rPr>
                <w:sz w:val="16"/>
                <w:szCs w:val="16"/>
              </w:rPr>
              <w:t>717</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w:t>
            </w:r>
            <w:r>
              <w:rPr>
                <w:sz w:val="16"/>
                <w:szCs w:val="16"/>
              </w:rPr>
              <w:t>717</w:t>
            </w:r>
          </w:p>
        </w:tc>
      </w:tr>
      <w:tr>
        <w:trPr>
          <w:trHeight w:val="20"/>
        </w:trPr>
        <w:tc>
          <w:tcPr>
            <w:tcW w:w="3798" w:type="dxa"/>
            <w:shd w:val="clear" w:color="auto" w:fill="auto"/>
            <w:vAlign w:val="bottom"/>
            <w:hideMark/>
          </w:tcPr>
          <w:p>
            <w:pPr>
              <w:rPr>
                <w:sz w:val="16"/>
                <w:szCs w:val="16"/>
              </w:rPr>
            </w:pPr>
            <w:r>
              <w:rPr>
                <w:sz w:val="16"/>
                <w:szCs w:val="16"/>
              </w:rPr>
              <w:t xml:space="preserve">Maddi Duran Varlıklar (Net) </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8</w:t>
            </w:r>
            <w:r>
              <w:rPr>
                <w:sz w:val="16"/>
                <w:szCs w:val="16"/>
              </w:rPr>
              <w:t>.</w:t>
            </w:r>
            <w:r>
              <w:rPr>
                <w:sz w:val="16"/>
                <w:szCs w:val="16"/>
              </w:rPr>
              <w:t>317</w:t>
            </w:r>
          </w:p>
        </w:tc>
        <w:tc>
          <w:tcPr>
            <w:tcW w:w="1531" w:type="dxa"/>
            <w:shd w:val="clear" w:color="auto" w:fill="auto"/>
            <w:vAlign w:val="bottom"/>
            <w:hideMark/>
          </w:tcPr>
          <w:p>
            <w:pPr>
              <w:jc w:val="right"/>
              <w:rPr>
                <w:sz w:val="16"/>
                <w:szCs w:val="16"/>
              </w:rPr>
            </w:pPr>
            <w:r>
              <w:rPr>
                <w:sz w:val="16"/>
                <w:szCs w:val="16"/>
              </w:rPr>
              <w:t>33.</w:t>
            </w:r>
            <w:r>
              <w:rPr>
                <w:sz w:val="16"/>
                <w:szCs w:val="16"/>
              </w:rPr>
              <w:t>139</w:t>
            </w:r>
          </w:p>
        </w:tc>
        <w:tc>
          <w:tcPr>
            <w:tcW w:w="1616" w:type="dxa"/>
            <w:shd w:val="clear" w:color="auto" w:fill="auto"/>
            <w:vAlign w:val="bottom"/>
            <w:hideMark/>
          </w:tcPr>
          <w:p>
            <w:pPr>
              <w:jc w:val="right"/>
              <w:rPr>
                <w:sz w:val="16"/>
                <w:szCs w:val="16"/>
              </w:rPr>
            </w:pPr>
            <w:r>
              <w:rPr>
                <w:sz w:val="16"/>
                <w:szCs w:val="16"/>
              </w:rPr>
              <w:t>41.4</w:t>
            </w:r>
            <w:r>
              <w:rPr>
                <w:sz w:val="16"/>
                <w:szCs w:val="16"/>
              </w:rPr>
              <w:t>56</w:t>
            </w:r>
          </w:p>
        </w:tc>
      </w:tr>
      <w:tr>
        <w:trPr>
          <w:trHeight w:val="20"/>
        </w:trPr>
        <w:tc>
          <w:tcPr>
            <w:tcW w:w="3798" w:type="dxa"/>
            <w:shd w:val="clear" w:color="auto" w:fill="auto"/>
            <w:vAlign w:val="bottom"/>
          </w:tcPr>
          <w:p>
            <w:pPr>
              <w:rPr>
                <w:sz w:val="16"/>
                <w:szCs w:val="16"/>
              </w:rPr>
            </w:pPr>
            <w:r>
              <w:rPr>
                <w:sz w:val="16"/>
                <w:szCs w:val="16"/>
              </w:rPr>
              <w:t>Maddi Olmayan Duran Varlıklar (Net)</w:t>
            </w:r>
            <w:r>
              <w:rPr>
                <w:sz w:val="16"/>
                <w:szCs w:val="16"/>
                <w:vertAlign w:val="superscript"/>
              </w:rPr>
              <w:t xml:space="preserve">   </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1.</w:t>
            </w:r>
            <w:r>
              <w:rPr>
                <w:sz w:val="16"/>
                <w:szCs w:val="16"/>
              </w:rPr>
              <w:t>047</w:t>
            </w:r>
          </w:p>
        </w:tc>
        <w:tc>
          <w:tcPr>
            <w:tcW w:w="1616" w:type="dxa"/>
            <w:shd w:val="clear" w:color="auto" w:fill="auto"/>
            <w:vAlign w:val="bottom"/>
          </w:tcPr>
          <w:p>
            <w:pPr>
              <w:jc w:val="right"/>
              <w:rPr>
                <w:sz w:val="16"/>
                <w:szCs w:val="16"/>
              </w:rPr>
            </w:pPr>
            <w:r>
              <w:rPr>
                <w:sz w:val="16"/>
                <w:szCs w:val="16"/>
              </w:rPr>
              <w:t>1.</w:t>
            </w:r>
            <w:r>
              <w:rPr>
                <w:sz w:val="16"/>
                <w:szCs w:val="16"/>
              </w:rPr>
              <w:t>047</w:t>
            </w:r>
          </w:p>
        </w:tc>
      </w:tr>
      <w:tr>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w:t>
            </w:r>
            <w:r>
              <w:rPr>
                <w:sz w:val="16"/>
                <w:szCs w:val="16"/>
              </w:rPr>
              <w:t>55</w:t>
            </w:r>
          </w:p>
        </w:tc>
        <w:tc>
          <w:tcPr>
            <w:tcW w:w="1616" w:type="dxa"/>
            <w:shd w:val="clear" w:color="auto" w:fill="auto"/>
            <w:vAlign w:val="bottom"/>
            <w:hideMark/>
          </w:tcPr>
          <w:p>
            <w:pPr>
              <w:jc w:val="right"/>
              <w:rPr>
                <w:sz w:val="16"/>
                <w:szCs w:val="16"/>
              </w:rPr>
            </w:pPr>
            <w:r>
              <w:rPr>
                <w:sz w:val="16"/>
                <w:szCs w:val="16"/>
              </w:rPr>
              <w:t>2.4</w:t>
            </w:r>
            <w:r>
              <w:rPr>
                <w:sz w:val="16"/>
                <w:szCs w:val="16"/>
              </w:rPr>
              <w:t>55</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w:t>
            </w:r>
            <w:r>
              <w:rPr>
                <w:sz w:val="16"/>
                <w:szCs w:val="16"/>
              </w:rPr>
              <w:t>223</w:t>
            </w:r>
          </w:p>
        </w:tc>
        <w:tc>
          <w:tcPr>
            <w:tcW w:w="1531" w:type="dxa"/>
            <w:shd w:val="clear" w:color="auto" w:fill="auto"/>
            <w:vAlign w:val="bottom"/>
            <w:hideMark/>
          </w:tcPr>
          <w:p>
            <w:pPr>
              <w:jc w:val="right"/>
              <w:rPr>
                <w:sz w:val="16"/>
                <w:szCs w:val="16"/>
              </w:rPr>
            </w:pPr>
            <w:r>
              <w:rPr>
                <w:sz w:val="16"/>
                <w:szCs w:val="16"/>
              </w:rPr>
              <w:t>19.6</w:t>
            </w:r>
            <w:r>
              <w:rPr>
                <w:sz w:val="16"/>
                <w:szCs w:val="16"/>
              </w:rPr>
              <w:t>2</w:t>
            </w:r>
            <w:r>
              <w:rPr>
                <w:sz w:val="16"/>
                <w:szCs w:val="16"/>
              </w:rPr>
              <w:t>0</w:t>
            </w:r>
          </w:p>
        </w:tc>
        <w:tc>
          <w:tcPr>
            <w:tcW w:w="1616" w:type="dxa"/>
            <w:shd w:val="clear" w:color="auto" w:fill="auto"/>
            <w:vAlign w:val="bottom"/>
            <w:hideMark/>
          </w:tcPr>
          <w:p>
            <w:pPr>
              <w:jc w:val="right"/>
              <w:rPr>
                <w:sz w:val="16"/>
                <w:szCs w:val="16"/>
              </w:rPr>
            </w:pPr>
            <w:r>
              <w:rPr>
                <w:sz w:val="16"/>
                <w:szCs w:val="16"/>
              </w:rPr>
              <w:t>2</w:t>
            </w:r>
            <w:r>
              <w:rPr>
                <w:sz w:val="16"/>
                <w:szCs w:val="16"/>
              </w:rPr>
              <w:t>0</w:t>
            </w:r>
            <w:r>
              <w:rPr>
                <w:sz w:val="16"/>
                <w:szCs w:val="16"/>
              </w:rPr>
              <w:t>.</w:t>
            </w:r>
            <w:r>
              <w:rPr>
                <w:sz w:val="16"/>
                <w:szCs w:val="16"/>
              </w:rPr>
              <w:t>8</w:t>
            </w:r>
            <w:r>
              <w:rPr>
                <w:sz w:val="16"/>
                <w:szCs w:val="16"/>
              </w:rPr>
              <w:t>4</w:t>
            </w:r>
            <w:r>
              <w:rPr>
                <w:sz w:val="16"/>
                <w:szCs w:val="16"/>
              </w:rPr>
              <w:t>3</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BÖLÜM YÜKÜMLÜLÜKLERİ</w:t>
            </w:r>
            <w:r>
              <w:rPr>
                <w:b/>
                <w:bCs/>
                <w:sz w:val="16"/>
                <w:szCs w:val="16"/>
                <w:vertAlign w:val="superscript"/>
              </w:rPr>
              <w:t>(2)</w:t>
            </w:r>
          </w:p>
        </w:tc>
        <w:tc>
          <w:tcPr>
            <w:tcW w:w="1163" w:type="dxa"/>
            <w:shd w:val="clear" w:color="auto" w:fill="auto"/>
            <w:vAlign w:val="bottom"/>
            <w:hideMark/>
          </w:tcPr>
          <w:p>
            <w:pPr>
              <w:jc w:val="right"/>
              <w:rPr>
                <w:b/>
                <w:bCs/>
                <w:sz w:val="16"/>
                <w:szCs w:val="16"/>
              </w:rPr>
            </w:pPr>
            <w:r>
              <w:rPr>
                <w:b/>
                <w:bCs/>
                <w:sz w:val="16"/>
                <w:szCs w:val="16"/>
              </w:rPr>
              <w:t>75.773</w:t>
            </w:r>
          </w:p>
        </w:tc>
        <w:tc>
          <w:tcPr>
            <w:tcW w:w="1276" w:type="dxa"/>
            <w:shd w:val="clear" w:color="auto" w:fill="auto"/>
            <w:vAlign w:val="bottom"/>
            <w:hideMark/>
          </w:tcPr>
          <w:p>
            <w:pPr>
              <w:jc w:val="right"/>
              <w:rPr>
                <w:b/>
                <w:bCs/>
                <w:sz w:val="16"/>
                <w:szCs w:val="16"/>
              </w:rPr>
            </w:pPr>
            <w:r>
              <w:rPr>
                <w:b/>
                <w:bCs/>
                <w:sz w:val="16"/>
                <w:szCs w:val="16"/>
              </w:rPr>
              <w:t>1.</w:t>
            </w:r>
            <w:r>
              <w:rPr>
                <w:b/>
                <w:bCs/>
                <w:sz w:val="16"/>
                <w:szCs w:val="16"/>
              </w:rPr>
              <w:t>38</w:t>
            </w:r>
            <w:r>
              <w:rPr>
                <w:b/>
                <w:bCs/>
                <w:sz w:val="16"/>
                <w:szCs w:val="16"/>
              </w:rPr>
              <w:t>1</w:t>
            </w:r>
            <w:r>
              <w:rPr>
                <w:b/>
                <w:bCs/>
                <w:sz w:val="16"/>
                <w:szCs w:val="16"/>
              </w:rPr>
              <w:t>.</w:t>
            </w:r>
            <w:r>
              <w:rPr>
                <w:b/>
                <w:bCs/>
                <w:sz w:val="16"/>
                <w:szCs w:val="16"/>
              </w:rPr>
              <w:t>540</w:t>
            </w:r>
          </w:p>
        </w:tc>
        <w:tc>
          <w:tcPr>
            <w:tcW w:w="1531" w:type="dxa"/>
            <w:shd w:val="clear" w:color="auto" w:fill="auto"/>
            <w:vAlign w:val="bottom"/>
            <w:hideMark/>
          </w:tcPr>
          <w:p>
            <w:pPr>
              <w:jc w:val="right"/>
              <w:rPr>
                <w:b/>
                <w:bCs/>
                <w:sz w:val="16"/>
                <w:szCs w:val="16"/>
              </w:rPr>
            </w:pPr>
            <w:r>
              <w:rPr>
                <w:b/>
                <w:bCs/>
                <w:sz w:val="16"/>
                <w:szCs w:val="16"/>
              </w:rPr>
              <w:t>5</w:t>
            </w:r>
            <w:r>
              <w:rPr>
                <w:b/>
                <w:bCs/>
                <w:sz w:val="16"/>
                <w:szCs w:val="16"/>
              </w:rPr>
              <w:t>4</w:t>
            </w:r>
            <w:r>
              <w:rPr>
                <w:b/>
                <w:bCs/>
                <w:sz w:val="16"/>
                <w:szCs w:val="16"/>
              </w:rPr>
              <w:t>2</w:t>
            </w:r>
            <w:r>
              <w:rPr>
                <w:b/>
                <w:bCs/>
                <w:sz w:val="16"/>
                <w:szCs w:val="16"/>
              </w:rPr>
              <w:t>.</w:t>
            </w:r>
            <w:r>
              <w:rPr>
                <w:b/>
                <w:bCs/>
                <w:sz w:val="16"/>
                <w:szCs w:val="16"/>
              </w:rPr>
              <w:t>070</w:t>
            </w:r>
          </w:p>
        </w:tc>
        <w:tc>
          <w:tcPr>
            <w:tcW w:w="1616" w:type="dxa"/>
            <w:shd w:val="clear" w:color="auto" w:fill="auto"/>
            <w:vAlign w:val="bottom"/>
            <w:hideMark/>
          </w:tcPr>
          <w:p>
            <w:pPr>
              <w:jc w:val="right"/>
              <w:rPr>
                <w:b/>
                <w:bCs/>
                <w:sz w:val="16"/>
                <w:szCs w:val="16"/>
              </w:rPr>
            </w:pPr>
            <w:r>
              <w:rPr>
                <w:b/>
                <w:bCs/>
                <w:sz w:val="16"/>
                <w:szCs w:val="16"/>
              </w:rPr>
              <w:t>1</w:t>
            </w:r>
            <w:r>
              <w:rPr>
                <w:b/>
                <w:bCs/>
                <w:sz w:val="16"/>
                <w:szCs w:val="16"/>
              </w:rPr>
              <w:t>.</w:t>
            </w:r>
            <w:r>
              <w:rPr>
                <w:b/>
                <w:bCs/>
                <w:sz w:val="16"/>
                <w:szCs w:val="16"/>
              </w:rPr>
              <w:t>999</w:t>
            </w:r>
            <w:r>
              <w:rPr>
                <w:b/>
                <w:bCs/>
                <w:sz w:val="16"/>
                <w:szCs w:val="16"/>
              </w:rPr>
              <w:t>.</w:t>
            </w:r>
            <w:r>
              <w:rPr>
                <w:b/>
                <w:bCs/>
                <w:sz w:val="16"/>
                <w:szCs w:val="16"/>
              </w:rPr>
              <w:t>383</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644</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644</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w:t>
            </w:r>
            <w:r>
              <w:rPr>
                <w:sz w:val="16"/>
                <w:szCs w:val="16"/>
              </w:rPr>
              <w:t>367.524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w:t>
            </w:r>
            <w:r>
              <w:rPr>
                <w:sz w:val="16"/>
                <w:szCs w:val="16"/>
              </w:rPr>
              <w:t>367.524</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75.129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75.129</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14.016</w:t>
            </w:r>
          </w:p>
        </w:tc>
        <w:tc>
          <w:tcPr>
            <w:tcW w:w="1531" w:type="dxa"/>
            <w:shd w:val="clear" w:color="auto" w:fill="auto"/>
            <w:vAlign w:val="bottom"/>
            <w:hideMark/>
          </w:tcPr>
          <w:p>
            <w:pPr>
              <w:jc w:val="right"/>
              <w:rPr>
                <w:sz w:val="16"/>
                <w:szCs w:val="16"/>
              </w:rPr>
            </w:pPr>
            <w:r>
              <w:rPr>
                <w:sz w:val="16"/>
                <w:szCs w:val="16"/>
              </w:rPr>
              <w:t>1</w:t>
            </w:r>
            <w:r>
              <w:rPr>
                <w:sz w:val="16"/>
                <w:szCs w:val="16"/>
              </w:rPr>
              <w:t>9</w:t>
            </w:r>
            <w:r>
              <w:rPr>
                <w:sz w:val="16"/>
                <w:szCs w:val="16"/>
              </w:rPr>
              <w:t>.</w:t>
            </w:r>
            <w:r>
              <w:rPr>
                <w:sz w:val="16"/>
                <w:szCs w:val="16"/>
              </w:rPr>
              <w:t>345</w:t>
            </w:r>
          </w:p>
        </w:tc>
        <w:tc>
          <w:tcPr>
            <w:tcW w:w="1616" w:type="dxa"/>
            <w:shd w:val="clear" w:color="auto" w:fill="auto"/>
            <w:vAlign w:val="bottom"/>
            <w:hideMark/>
          </w:tcPr>
          <w:p>
            <w:pPr>
              <w:jc w:val="right"/>
              <w:rPr>
                <w:sz w:val="16"/>
                <w:szCs w:val="16"/>
              </w:rPr>
            </w:pPr>
            <w:r>
              <w:rPr>
                <w:sz w:val="16"/>
                <w:szCs w:val="16"/>
              </w:rPr>
              <w:t>3</w:t>
            </w:r>
            <w:r>
              <w:rPr>
                <w:sz w:val="16"/>
                <w:szCs w:val="16"/>
              </w:rPr>
              <w:t>3</w:t>
            </w:r>
            <w:r>
              <w:rPr>
                <w:sz w:val="16"/>
                <w:szCs w:val="16"/>
              </w:rPr>
              <w:t>.</w:t>
            </w:r>
            <w:r>
              <w:rPr>
                <w:sz w:val="16"/>
                <w:szCs w:val="16"/>
              </w:rPr>
              <w:t>361</w:t>
            </w:r>
          </w:p>
        </w:tc>
      </w:tr>
      <w:tr>
        <w:trPr>
          <w:trHeight w:val="20"/>
        </w:trPr>
        <w:tc>
          <w:tcPr>
            <w:tcW w:w="3798" w:type="dxa"/>
            <w:shd w:val="clear" w:color="auto" w:fill="auto"/>
            <w:vAlign w:val="bottom"/>
            <w:hideMark/>
          </w:tcPr>
          <w:p>
            <w:pPr>
              <w:rPr>
                <w:sz w:val="16"/>
                <w:szCs w:val="16"/>
              </w:rPr>
            </w:pPr>
            <w:r>
              <w:rPr>
                <w:sz w:val="16"/>
                <w:szCs w:val="16"/>
              </w:rPr>
              <w:t>Özkaynaklar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512.538</w:t>
            </w:r>
          </w:p>
        </w:tc>
        <w:tc>
          <w:tcPr>
            <w:tcW w:w="1616" w:type="dxa"/>
            <w:shd w:val="clear" w:color="auto" w:fill="auto"/>
            <w:vAlign w:val="bottom"/>
            <w:hideMark/>
          </w:tcPr>
          <w:p>
            <w:pPr>
              <w:jc w:val="right"/>
              <w:rPr>
                <w:sz w:val="16"/>
                <w:szCs w:val="16"/>
              </w:rPr>
            </w:pPr>
            <w:r>
              <w:rPr>
                <w:sz w:val="16"/>
                <w:szCs w:val="16"/>
              </w:rPr>
              <w:t>512.538</w:t>
            </w:r>
          </w:p>
        </w:tc>
      </w:tr>
      <w:tr>
        <w:trPr>
          <w:trHeight w:val="75"/>
        </w:trPr>
        <w:tc>
          <w:tcPr>
            <w:tcW w:w="3798" w:type="dxa"/>
            <w:shd w:val="clear" w:color="auto" w:fill="auto"/>
            <w:vAlign w:val="bottom"/>
            <w:hideMark/>
          </w:tcPr>
          <w:p>
            <w:pPr>
              <w:rPr>
                <w:sz w:val="16"/>
                <w:szCs w:val="16"/>
              </w:rPr>
            </w:pPr>
            <w:r>
              <w:rPr>
                <w:sz w:val="16"/>
                <w:szCs w:val="16"/>
              </w:rPr>
              <w:t>Diğer Yükümlülükler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1</w:t>
            </w:r>
            <w:r>
              <w:rPr>
                <w:sz w:val="16"/>
                <w:szCs w:val="16"/>
              </w:rPr>
              <w:t>0</w:t>
            </w:r>
            <w:r>
              <w:rPr>
                <w:sz w:val="16"/>
                <w:szCs w:val="16"/>
              </w:rPr>
              <w:t>.</w:t>
            </w:r>
            <w:r>
              <w:rPr>
                <w:sz w:val="16"/>
                <w:szCs w:val="16"/>
              </w:rPr>
              <w:t>18</w:t>
            </w:r>
            <w:r>
              <w:rPr>
                <w:sz w:val="16"/>
                <w:szCs w:val="16"/>
              </w:rPr>
              <w:t>7</w:t>
            </w:r>
          </w:p>
        </w:tc>
        <w:tc>
          <w:tcPr>
            <w:tcW w:w="1616" w:type="dxa"/>
            <w:shd w:val="clear" w:color="auto" w:fill="auto"/>
            <w:vAlign w:val="bottom"/>
            <w:hideMark/>
          </w:tcPr>
          <w:p>
            <w:pPr>
              <w:jc w:val="right"/>
              <w:rPr>
                <w:sz w:val="16"/>
                <w:szCs w:val="16"/>
              </w:rPr>
            </w:pPr>
            <w:r>
              <w:rPr>
                <w:sz w:val="16"/>
                <w:szCs w:val="16"/>
              </w:rPr>
              <w:t>1</w:t>
            </w:r>
            <w:r>
              <w:rPr>
                <w:sz w:val="16"/>
                <w:szCs w:val="16"/>
              </w:rPr>
              <w:t>0</w:t>
            </w:r>
            <w:r>
              <w:rPr>
                <w:sz w:val="16"/>
                <w:szCs w:val="16"/>
              </w:rPr>
              <w:t>.</w:t>
            </w:r>
            <w:r>
              <w:rPr>
                <w:sz w:val="16"/>
                <w:szCs w:val="16"/>
              </w:rPr>
              <w:t>18</w:t>
            </w:r>
            <w:r>
              <w:rPr>
                <w:sz w:val="16"/>
                <w:szCs w:val="16"/>
              </w:rPr>
              <w:t>7</w:t>
            </w:r>
          </w:p>
        </w:tc>
      </w:tr>
    </w:tbl>
    <w:p>
      <w:pPr>
        <w:tabs>
          <w:tab w:val="left" w:pos="709"/>
        </w:tabs>
        <w:ind w:left="709" w:hanging="709"/>
        <w:jc w:val="both"/>
        <w:rPr>
          <w:bCs/>
          <w:sz w:val="20"/>
          <w:szCs w:val="20"/>
        </w:rPr>
      </w:pPr>
    </w:p>
    <w:p>
      <w:pPr>
        <w:ind w:left="567" w:hanging="567"/>
        <w:jc w:val="both"/>
        <w:rPr>
          <w:b/>
          <w:bCs/>
          <w:sz w:val="8"/>
          <w:szCs w:val="8"/>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 xml:space="preserve">Hazine ve Yatırım </w:t>
      </w:r>
      <w:r>
        <w:rPr>
          <w:sz w:val="18"/>
          <w:szCs w:val="18"/>
        </w:rPr>
        <w:t xml:space="preserve">bankacılığı </w:t>
      </w:r>
      <w:r>
        <w:rPr>
          <w:sz w:val="18"/>
          <w:szCs w:val="18"/>
        </w:rPr>
        <w:t>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r>
        <w:rPr>
          <w:rFonts w:eastAsia="Arial Unicode MS"/>
          <w:bCs/>
          <w:sz w:val="18"/>
          <w:szCs w:val="18"/>
        </w:rPr>
        <w:t>Bölümlerarası fon aktarımından kaynaklanan alacak ve borç bulunmamaktadır.</w:t>
      </w:r>
    </w:p>
    <w:p>
      <w:pPr>
        <w:tabs>
          <w:tab w:val="left" w:pos="709"/>
        </w:tabs>
        <w:ind w:left="709" w:hanging="709"/>
        <w:jc w:val="both"/>
        <w:rPr>
          <w:bCs/>
          <w:sz w:val="22"/>
          <w:szCs w:val="22"/>
        </w:rPr>
      </w:pPr>
    </w:p>
    <w:p>
      <w:pPr>
        <w:jc w:val="both"/>
        <w:rPr>
          <w:sz w:val="22"/>
          <w:szCs w:val="22"/>
        </w:rPr>
      </w:pPr>
    </w:p>
    <w:p>
      <w:pPr>
        <w:ind w:left="1134" w:hanging="425"/>
        <w:jc w:val="both"/>
        <w:rPr>
          <w:rFonts w:eastAsia="Arial Unicode MS"/>
          <w:bCs/>
          <w:sz w:val="16"/>
          <w:szCs w:val="16"/>
        </w:rPr>
      </w:pPr>
      <w:r>
        <w:rPr>
          <w:rFonts w:eastAsia="Arial Unicode MS"/>
          <w:bCs/>
          <w:sz w:val="16"/>
          <w:szCs w:val="16"/>
        </w:rPr>
        <w:t>.</w:t>
      </w:r>
    </w:p>
    <w:p>
      <w:pPr>
        <w:ind w:left="1134" w:hanging="425"/>
        <w:jc w:val="both"/>
        <w:rPr>
          <w:rFonts w:eastAsia="Arial Unicode MS"/>
          <w:bCs/>
          <w:sz w:val="16"/>
          <w:szCs w:val="16"/>
        </w:rPr>
      </w:pPr>
      <w:r>
        <w:rPr>
          <w:rFonts w:eastAsia="Arial Unicode MS"/>
          <w:bCs/>
          <w:sz w:val="16"/>
          <w:szCs w:val="16"/>
        </w:rPr>
        <w:br w:type="page"/>
      </w:r>
    </w:p>
    <w:p>
      <w:pPr>
        <w:ind w:left="567" w:hanging="567"/>
        <w:jc w:val="both"/>
        <w:rPr>
          <w:b/>
          <w:bCs/>
          <w:sz w:val="16"/>
          <w:szCs w:val="16"/>
        </w:rPr>
      </w:pPr>
    </w:p>
    <w:p>
      <w:pPr>
        <w:ind w:left="567" w:hanging="567"/>
        <w:jc w:val="both"/>
        <w:rPr>
          <w:b/>
          <w:bCs/>
          <w:sz w:val="22"/>
          <w:szCs w:val="22"/>
        </w:rPr>
      </w:pPr>
      <w:r>
        <w:rPr>
          <w:b/>
          <w:bCs/>
          <w:sz w:val="22"/>
          <w:szCs w:val="22"/>
        </w:rPr>
        <w:t>XX</w:t>
      </w:r>
      <w:r>
        <w:rPr>
          <w:b/>
          <w:bCs/>
          <w:sz w:val="22"/>
          <w:szCs w:val="22"/>
        </w:rPr>
        <w:t>I</w:t>
      </w:r>
      <w:r>
        <w:rPr>
          <w:b/>
          <w:bCs/>
          <w:sz w:val="22"/>
          <w:szCs w:val="22"/>
        </w:rPr>
        <w:t>-</w:t>
      </w:r>
      <w:r>
        <w:rPr>
          <w:b/>
          <w:bCs/>
          <w:sz w:val="22"/>
          <w:szCs w:val="22"/>
        </w:rPr>
        <w:tab/>
      </w:r>
      <w:r>
        <w:rPr>
          <w:b/>
          <w:bCs/>
          <w:sz w:val="22"/>
          <w:szCs w:val="22"/>
        </w:rPr>
        <w:t>Raporlamanın bölümlemeye göre yapılmasına ilişkin açıklamalar (devam ediyor):</w:t>
      </w:r>
    </w:p>
    <w:p>
      <w:pPr>
        <w:jc w:val="both"/>
        <w:rPr>
          <w:sz w:val="6"/>
          <w:szCs w:val="6"/>
        </w:rPr>
      </w:pPr>
    </w:p>
    <w:tbl>
      <w:tblPr>
        <w:tblW w:w="9384" w:type="dxa"/>
        <w:tblInd w:w="4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 xml:space="preserve">Önceki Dönem </w:t>
            </w:r>
            <w:r>
              <w:rPr>
                <w:b/>
                <w:bCs/>
                <w:sz w:val="16"/>
                <w:szCs w:val="16"/>
              </w:rPr>
              <w:t xml:space="preserve"> (</w:t>
            </w:r>
            <w:r>
              <w:rPr>
                <w:b/>
                <w:bCs/>
                <w:sz w:val="16"/>
                <w:szCs w:val="16"/>
              </w:rPr>
              <w:t>30</w:t>
            </w:r>
            <w:r>
              <w:rPr>
                <w:b/>
                <w:bCs/>
                <w:sz w:val="16"/>
                <w:szCs w:val="16"/>
              </w:rPr>
              <w:t>.</w:t>
            </w:r>
            <w:r>
              <w:rPr>
                <w:b/>
                <w:bCs/>
                <w:sz w:val="16"/>
                <w:szCs w:val="16"/>
              </w:rPr>
              <w:t>06</w:t>
            </w:r>
            <w:r>
              <w:rPr>
                <w:b/>
                <w:bCs/>
                <w:sz w:val="16"/>
                <w:szCs w:val="16"/>
              </w:rPr>
              <w:t>.</w:t>
            </w:r>
            <w:r>
              <w:rPr>
                <w:b/>
                <w:bCs/>
                <w:sz w:val="16"/>
                <w:szCs w:val="16"/>
              </w:rPr>
              <w:t>20</w:t>
            </w:r>
            <w:r>
              <w:rPr>
                <w:b/>
                <w:bCs/>
                <w:sz w:val="16"/>
                <w:szCs w:val="16"/>
              </w:rPr>
              <w:t>1</w:t>
            </w:r>
            <w:r>
              <w:rPr>
                <w:b/>
                <w:bCs/>
                <w:sz w:val="16"/>
                <w:szCs w:val="16"/>
              </w:rPr>
              <w:t>0</w:t>
            </w:r>
            <w:r>
              <w:rPr>
                <w:b/>
                <w:bCs/>
                <w:sz w:val="16"/>
                <w:szCs w:val="16"/>
              </w:rPr>
              <w:t>)</w:t>
            </w:r>
          </w:p>
        </w:tc>
        <w:tc>
          <w:tcPr>
            <w:tcW w:w="1163" w:type="dxa"/>
            <w:vMerge w:val="restart"/>
            <w:shd w:val="clear" w:color="auto" w:fill="auto"/>
            <w:vAlign w:val="bottom"/>
            <w:hideMark/>
          </w:tcPr>
          <w:p>
            <w:pPr>
              <w:ind w:right="14"/>
              <w:jc w:val="right"/>
              <w:rPr>
                <w:b/>
                <w:bCs/>
                <w:sz w:val="16"/>
                <w:szCs w:val="16"/>
              </w:rPr>
            </w:pPr>
            <w:r>
              <w:rPr>
                <w:b/>
                <w:bCs/>
                <w:sz w:val="16"/>
                <w:szCs w:val="16"/>
              </w:rPr>
              <w:t>Hazine</w:t>
            </w:r>
          </w:p>
        </w:tc>
        <w:tc>
          <w:tcPr>
            <w:tcW w:w="1276" w:type="dxa"/>
            <w:vMerge w:val="restart"/>
            <w:shd w:val="clear" w:color="auto" w:fill="auto"/>
            <w:vAlign w:val="bottom"/>
            <w:hideMark/>
          </w:tcPr>
          <w:p>
            <w:pPr>
              <w:ind w:right="14"/>
              <w:jc w:val="right"/>
              <w:rPr>
                <w:b/>
                <w:bCs/>
                <w:sz w:val="16"/>
                <w:szCs w:val="16"/>
              </w:rPr>
            </w:pPr>
            <w:r>
              <w:rPr>
                <w:b/>
                <w:bCs/>
                <w:sz w:val="16"/>
                <w:szCs w:val="16"/>
              </w:rPr>
              <w:t>Yatırım</w:t>
            </w:r>
          </w:p>
          <w:p>
            <w:pPr>
              <w:ind w:right="14"/>
              <w:jc w:val="right"/>
              <w:rPr>
                <w:b/>
                <w:bCs/>
                <w:sz w:val="16"/>
                <w:szCs w:val="16"/>
              </w:rPr>
            </w:pPr>
            <w:r>
              <w:rPr>
                <w:b/>
                <w:bCs/>
                <w:sz w:val="16"/>
                <w:szCs w:val="16"/>
              </w:rPr>
              <w:t>Bankacılığı</w:t>
            </w:r>
          </w:p>
        </w:tc>
        <w:tc>
          <w:tcPr>
            <w:tcW w:w="1531" w:type="dxa"/>
            <w:vMerge w:val="restart"/>
            <w:shd w:val="clear" w:color="auto" w:fill="auto"/>
            <w:vAlign w:val="bottom"/>
            <w:hideMark/>
          </w:tcPr>
          <w:p>
            <w:pPr>
              <w:ind w:right="14"/>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14"/>
              <w:jc w:val="right"/>
              <w:rPr>
                <w:b/>
                <w:bCs/>
                <w:sz w:val="16"/>
                <w:szCs w:val="16"/>
              </w:rPr>
            </w:pPr>
            <w:r>
              <w:rPr>
                <w:b/>
                <w:bCs/>
                <w:sz w:val="16"/>
                <w:szCs w:val="16"/>
              </w:rPr>
              <w:t xml:space="preserve">Banka’nın </w:t>
            </w:r>
          </w:p>
          <w:p>
            <w:pPr>
              <w:ind w:right="14"/>
              <w:jc w:val="right"/>
              <w:rPr>
                <w:b/>
                <w:bCs/>
                <w:sz w:val="16"/>
                <w:szCs w:val="16"/>
              </w:rPr>
            </w:pPr>
            <w:r>
              <w:rPr>
                <w:b/>
                <w:bCs/>
                <w:sz w:val="16"/>
                <w:szCs w:val="16"/>
              </w:rPr>
              <w:t>Toplam Faaliyeti</w:t>
            </w:r>
          </w:p>
        </w:tc>
      </w:tr>
      <w:tr>
        <w:trPr>
          <w:trHeight w:val="225"/>
        </w:trPr>
        <w:tc>
          <w:tcPr>
            <w:tcW w:w="3798" w:type="dxa"/>
            <w:vMerge/>
            <w:vAlign w:val="center"/>
            <w:hideMark/>
          </w:tcPr>
          <w:p>
            <w:pPr>
              <w:rPr>
                <w:b/>
                <w:bCs/>
                <w:sz w:val="16"/>
                <w:szCs w:val="16"/>
              </w:rPr>
            </w:pPr>
          </w:p>
        </w:tc>
        <w:tc>
          <w:tcPr>
            <w:tcW w:w="1163" w:type="dxa"/>
            <w:vMerge/>
            <w:vAlign w:val="center"/>
            <w:hideMark/>
          </w:tcPr>
          <w:p>
            <w:pPr>
              <w:rPr>
                <w:b/>
                <w:bCs/>
                <w:sz w:val="16"/>
                <w:szCs w:val="16"/>
              </w:rPr>
            </w:pPr>
          </w:p>
        </w:tc>
        <w:tc>
          <w:tcPr>
            <w:tcW w:w="1276" w:type="dxa"/>
            <w:vMerge/>
            <w:vAlign w:val="center"/>
            <w:hideMark/>
          </w:tcPr>
          <w:p>
            <w:pPr>
              <w:rPr>
                <w:b/>
                <w:bCs/>
                <w:sz w:val="16"/>
                <w:szCs w:val="16"/>
              </w:rPr>
            </w:pPr>
          </w:p>
        </w:tc>
        <w:tc>
          <w:tcPr>
            <w:tcW w:w="1531" w:type="dxa"/>
            <w:vMerge/>
            <w:vAlign w:val="center"/>
            <w:hideMark/>
          </w:tcPr>
          <w:p>
            <w:pPr>
              <w:rPr>
                <w:b/>
                <w:bCs/>
                <w:sz w:val="16"/>
                <w:szCs w:val="16"/>
              </w:rPr>
            </w:pPr>
          </w:p>
        </w:tc>
        <w:tc>
          <w:tcPr>
            <w:tcW w:w="1616" w:type="dxa"/>
            <w:vMerge/>
            <w:vAlign w:val="center"/>
            <w:hideMark/>
          </w:tcPr>
          <w:p>
            <w:pPr>
              <w:rPr>
                <w:b/>
                <w:bCs/>
                <w:sz w:val="16"/>
                <w:szCs w:val="16"/>
              </w:rPr>
            </w:pPr>
          </w:p>
        </w:tc>
      </w:tr>
      <w:tr>
        <w:trPr>
          <w:trHeight w:val="20"/>
        </w:trPr>
        <w:tc>
          <w:tcPr>
            <w:tcW w:w="3798" w:type="dxa"/>
            <w:shd w:val="clear" w:color="auto" w:fill="auto"/>
            <w:vAlign w:val="center"/>
            <w:hideMark/>
          </w:tcPr>
          <w:p>
            <w:pPr>
              <w:rPr>
                <w:b/>
                <w:bCs/>
                <w:sz w:val="16"/>
                <w:szCs w:val="16"/>
              </w:rPr>
            </w:pPr>
            <w:r>
              <w:rPr>
                <w:b/>
                <w:bCs/>
                <w:sz w:val="16"/>
                <w:szCs w:val="16"/>
              </w:rPr>
              <w:t>FAALİYET GELİRLERİ/GİDERLERİ</w:t>
            </w:r>
          </w:p>
        </w:tc>
        <w:tc>
          <w:tcPr>
            <w:tcW w:w="1163" w:type="dxa"/>
            <w:shd w:val="clear" w:color="auto" w:fill="auto"/>
            <w:vAlign w:val="center"/>
            <w:hideMark/>
          </w:tcPr>
          <w:p>
            <w:pPr>
              <w:rPr>
                <w:sz w:val="16"/>
                <w:szCs w:val="16"/>
              </w:rPr>
            </w:pPr>
          </w:p>
        </w:tc>
        <w:tc>
          <w:tcPr>
            <w:tcW w:w="1276" w:type="dxa"/>
            <w:shd w:val="clear" w:color="auto" w:fill="auto"/>
            <w:vAlign w:val="center"/>
            <w:hideMark/>
          </w:tcPr>
          <w:p>
            <w:pPr>
              <w:rPr>
                <w:sz w:val="16"/>
                <w:szCs w:val="16"/>
              </w:rPr>
            </w:pPr>
          </w:p>
        </w:tc>
        <w:tc>
          <w:tcPr>
            <w:tcW w:w="1531" w:type="dxa"/>
            <w:shd w:val="clear" w:color="auto" w:fill="auto"/>
            <w:noWrap/>
            <w:vAlign w:val="center"/>
            <w:hideMark/>
          </w:tcPr>
          <w:p>
            <w:pPr>
              <w:rPr>
                <w:sz w:val="16"/>
                <w:szCs w:val="16"/>
              </w:rPr>
            </w:pPr>
          </w:p>
        </w:tc>
        <w:tc>
          <w:tcPr>
            <w:tcW w:w="1616" w:type="dxa"/>
            <w:shd w:val="clear" w:color="auto" w:fill="auto"/>
            <w:noWrap/>
            <w:vAlign w:val="center"/>
            <w:hideMark/>
          </w:tcPr>
          <w:p>
            <w:pPr>
              <w:rPr>
                <w:sz w:val="16"/>
                <w:szCs w:val="16"/>
              </w:rPr>
            </w:pPr>
          </w:p>
        </w:tc>
      </w:tr>
      <w:tr>
        <w:trPr>
          <w:trHeight w:val="57"/>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12.748</w:t>
            </w:r>
          </w:p>
        </w:tc>
        <w:tc>
          <w:tcPr>
            <w:tcW w:w="1276" w:type="dxa"/>
            <w:shd w:val="clear" w:color="auto" w:fill="auto"/>
            <w:vAlign w:val="bottom"/>
            <w:hideMark/>
          </w:tcPr>
          <w:p>
            <w:pPr>
              <w:jc w:val="right"/>
              <w:rPr>
                <w:sz w:val="16"/>
                <w:szCs w:val="16"/>
              </w:rPr>
            </w:pPr>
            <w:r>
              <w:rPr>
                <w:sz w:val="16"/>
                <w:szCs w:val="16"/>
              </w:rPr>
              <w:t>23.942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36.690</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23.942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23.942</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68</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68</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3.482</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3.482</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9.198</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9.198</w:t>
            </w:r>
          </w:p>
        </w:tc>
      </w:tr>
      <w:tr>
        <w:trPr>
          <w:trHeight w:val="20"/>
        </w:trPr>
        <w:tc>
          <w:tcPr>
            <w:tcW w:w="3798" w:type="dxa"/>
            <w:shd w:val="clear" w:color="auto" w:fill="auto"/>
            <w:vAlign w:val="bottom"/>
            <w:hideMark/>
          </w:tcPr>
          <w:p>
            <w:pPr>
              <w:ind w:left="214"/>
              <w:rPr>
                <w:sz w:val="16"/>
                <w:szCs w:val="16"/>
              </w:rPr>
            </w:pPr>
            <w:r>
              <w:rPr>
                <w:sz w:val="16"/>
                <w:szCs w:val="16"/>
              </w:rPr>
              <w:t>Diğer Faiz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(5)</w:t>
            </w:r>
          </w:p>
        </w:tc>
        <w:tc>
          <w:tcPr>
            <w:tcW w:w="1276" w:type="dxa"/>
            <w:shd w:val="clear" w:color="auto" w:fill="auto"/>
            <w:vAlign w:val="bottom"/>
            <w:hideMark/>
          </w:tcPr>
          <w:p>
            <w:pPr>
              <w:jc w:val="right"/>
              <w:rPr>
                <w:sz w:val="16"/>
                <w:szCs w:val="16"/>
              </w:rPr>
            </w:pPr>
            <w:r>
              <w:rPr>
                <w:sz w:val="16"/>
                <w:szCs w:val="16"/>
              </w:rPr>
              <w:t>(8.047</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8.052</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(4.994</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(4.994</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5</w:t>
            </w:r>
            <w:r>
              <w:rPr>
                <w:sz w:val="16"/>
                <w:szCs w:val="16"/>
              </w:rPr>
              <w:t>)</w:t>
            </w:r>
          </w:p>
        </w:tc>
        <w:tc>
          <w:tcPr>
            <w:tcW w:w="1276" w:type="dxa"/>
            <w:shd w:val="clear" w:color="auto" w:fill="auto"/>
            <w:vAlign w:val="bottom"/>
            <w:hideMark/>
          </w:tcPr>
          <w:p>
            <w:pPr>
              <w:jc w:val="right"/>
              <w:rPr>
                <w:sz w:val="16"/>
                <w:szCs w:val="16"/>
              </w:rPr>
            </w:pPr>
            <w:r>
              <w:rPr>
                <w:sz w:val="16"/>
                <w:szCs w:val="16"/>
              </w:rPr>
              <w:t>(3.053)</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3.058</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1.135</w:t>
            </w:r>
          </w:p>
        </w:tc>
        <w:tc>
          <w:tcPr>
            <w:tcW w:w="1531" w:type="dxa"/>
            <w:shd w:val="clear" w:color="auto" w:fill="auto"/>
            <w:vAlign w:val="bottom"/>
            <w:hideMark/>
          </w:tcPr>
          <w:p>
            <w:pPr>
              <w:jc w:val="right"/>
              <w:rPr>
                <w:sz w:val="16"/>
                <w:szCs w:val="16"/>
              </w:rPr>
            </w:pPr>
            <w:r>
              <w:rPr>
                <w:sz w:val="16"/>
                <w:szCs w:val="16"/>
              </w:rPr>
              <w:t>34</w:t>
            </w:r>
          </w:p>
        </w:tc>
        <w:tc>
          <w:tcPr>
            <w:tcW w:w="1616" w:type="dxa"/>
            <w:shd w:val="clear" w:color="auto" w:fill="auto"/>
            <w:vAlign w:val="bottom"/>
            <w:hideMark/>
          </w:tcPr>
          <w:p>
            <w:pPr>
              <w:jc w:val="right"/>
              <w:rPr>
                <w:sz w:val="16"/>
                <w:szCs w:val="16"/>
              </w:rPr>
            </w:pPr>
            <w:r>
              <w:rPr>
                <w:sz w:val="16"/>
                <w:szCs w:val="16"/>
              </w:rPr>
              <w:t>1.</w:t>
            </w:r>
            <w:r>
              <w:rPr>
                <w:sz w:val="16"/>
                <w:szCs w:val="16"/>
              </w:rPr>
              <w:t>16</w:t>
            </w:r>
            <w:r>
              <w:rPr>
                <w:sz w:val="16"/>
                <w:szCs w:val="16"/>
              </w:rPr>
              <w:t>9</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1.225</w:t>
            </w:r>
          </w:p>
        </w:tc>
        <w:tc>
          <w:tcPr>
            <w:tcW w:w="1531" w:type="dxa"/>
            <w:shd w:val="clear" w:color="auto" w:fill="auto"/>
            <w:vAlign w:val="bottom"/>
            <w:hideMark/>
          </w:tcPr>
          <w:p>
            <w:pPr>
              <w:jc w:val="right"/>
              <w:rPr>
                <w:sz w:val="16"/>
                <w:szCs w:val="16"/>
              </w:rPr>
            </w:pPr>
            <w:r>
              <w:rPr>
                <w:sz w:val="16"/>
                <w:szCs w:val="16"/>
              </w:rPr>
              <w:t>34</w:t>
            </w:r>
          </w:p>
        </w:tc>
        <w:tc>
          <w:tcPr>
            <w:tcW w:w="1616" w:type="dxa"/>
            <w:shd w:val="clear" w:color="auto" w:fill="auto"/>
            <w:vAlign w:val="bottom"/>
            <w:hideMark/>
          </w:tcPr>
          <w:p>
            <w:pPr>
              <w:jc w:val="right"/>
              <w:rPr>
                <w:sz w:val="16"/>
                <w:szCs w:val="16"/>
              </w:rPr>
            </w:pPr>
            <w:r>
              <w:rPr>
                <w:sz w:val="16"/>
                <w:szCs w:val="16"/>
              </w:rPr>
              <w:t>1.25</w:t>
            </w:r>
            <w:r>
              <w:rPr>
                <w:sz w:val="16"/>
                <w:szCs w:val="16"/>
              </w:rPr>
              <w:t>9</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(90</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(90</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3.220</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3.220</w:t>
            </w: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155</w:t>
            </w:r>
          </w:p>
        </w:tc>
        <w:tc>
          <w:tcPr>
            <w:tcW w:w="1276" w:type="dxa"/>
            <w:shd w:val="clear" w:color="auto" w:fill="auto"/>
            <w:vAlign w:val="bottom"/>
            <w:hideMark/>
          </w:tcPr>
          <w:p>
            <w:pPr>
              <w:jc w:val="right"/>
              <w:rPr>
                <w:sz w:val="16"/>
                <w:szCs w:val="16"/>
              </w:rPr>
            </w:pPr>
            <w:r>
              <w:rPr>
                <w:sz w:val="16"/>
                <w:szCs w:val="16"/>
              </w:rPr>
              <w:t>1.478</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1.6</w:t>
            </w:r>
            <w:r>
              <w:rPr>
                <w:sz w:val="16"/>
                <w:szCs w:val="16"/>
              </w:rPr>
              <w:t>3</w:t>
            </w:r>
            <w:r>
              <w:rPr>
                <w:sz w:val="16"/>
                <w:szCs w:val="16"/>
              </w:rPr>
              <w:t>3</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155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155</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r>
              <w:rPr>
                <w:sz w:val="16"/>
                <w:szCs w:val="16"/>
              </w:rPr>
              <w:t>14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14</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1.464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1.464</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10.789</w:t>
            </w:r>
          </w:p>
        </w:tc>
        <w:tc>
          <w:tcPr>
            <w:tcW w:w="1531" w:type="dxa"/>
            <w:shd w:val="clear" w:color="auto" w:fill="auto"/>
            <w:vAlign w:val="bottom"/>
            <w:hideMark/>
          </w:tcPr>
          <w:p>
            <w:pPr>
              <w:jc w:val="right"/>
              <w:rPr>
                <w:sz w:val="16"/>
                <w:szCs w:val="16"/>
              </w:rPr>
            </w:pPr>
            <w:r>
              <w:rPr>
                <w:sz w:val="16"/>
                <w:szCs w:val="16"/>
              </w:rPr>
              <w:t>444</w:t>
            </w:r>
          </w:p>
        </w:tc>
        <w:tc>
          <w:tcPr>
            <w:tcW w:w="1616" w:type="dxa"/>
            <w:shd w:val="clear" w:color="auto" w:fill="auto"/>
            <w:vAlign w:val="bottom"/>
            <w:hideMark/>
          </w:tcPr>
          <w:p>
            <w:pPr>
              <w:jc w:val="right"/>
              <w:rPr>
                <w:sz w:val="16"/>
                <w:szCs w:val="16"/>
              </w:rPr>
            </w:pPr>
            <w:r>
              <w:rPr>
                <w:sz w:val="16"/>
                <w:szCs w:val="16"/>
              </w:rPr>
              <w:t>11.233</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531</w:t>
            </w: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2</w:t>
            </w:r>
            <w:r>
              <w:rPr>
                <w:sz w:val="16"/>
                <w:szCs w:val="16"/>
              </w:rPr>
              <w:t>.</w:t>
            </w:r>
            <w:r>
              <w:rPr>
                <w:sz w:val="16"/>
                <w:szCs w:val="16"/>
              </w:rPr>
              <w:t>937</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3.468</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(29.602)</w:t>
            </w:r>
          </w:p>
        </w:tc>
        <w:tc>
          <w:tcPr>
            <w:tcW w:w="1616" w:type="dxa"/>
            <w:shd w:val="clear" w:color="auto" w:fill="auto"/>
            <w:vAlign w:val="bottom"/>
            <w:hideMark/>
          </w:tcPr>
          <w:p>
            <w:pPr>
              <w:jc w:val="right"/>
              <w:rPr>
                <w:sz w:val="16"/>
                <w:szCs w:val="16"/>
              </w:rPr>
            </w:pPr>
            <w:r>
              <w:rPr>
                <w:sz w:val="16"/>
                <w:szCs w:val="16"/>
              </w:rPr>
              <w:t>(29.602)</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12.823</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(3.646)</w:t>
            </w:r>
          </w:p>
        </w:tc>
      </w:tr>
      <w:tr>
        <w:trPr>
          <w:trHeight w:val="20"/>
        </w:trPr>
        <w:tc>
          <w:tcPr>
            <w:tcW w:w="3798" w:type="dxa"/>
            <w:shd w:val="clear" w:color="auto" w:fill="auto"/>
            <w:vAlign w:val="bottom"/>
            <w:hideMark/>
          </w:tcPr>
          <w:p>
            <w:pPr>
              <w:rPr>
                <w:sz w:val="16"/>
                <w:szCs w:val="16"/>
              </w:rPr>
            </w:pPr>
            <w:r>
              <w:rPr>
                <w:sz w:val="16"/>
                <w:szCs w:val="16"/>
              </w:rPr>
              <w:t>Net Dönem Karı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9.177</w:t>
            </w:r>
          </w:p>
        </w:tc>
      </w:tr>
      <w:tr>
        <w:trPr>
          <w:trHeight w:val="170"/>
        </w:trPr>
        <w:tc>
          <w:tcPr>
            <w:tcW w:w="3798" w:type="dxa"/>
            <w:shd w:val="clear" w:color="auto" w:fill="auto"/>
            <w:vAlign w:val="bottom"/>
            <w:hideMark/>
          </w:tcPr>
          <w:p>
            <w:pPr>
              <w:jc w:val="right"/>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VARLIKLARI </w:t>
            </w:r>
            <w:r>
              <w:rPr>
                <w:b/>
                <w:bCs/>
                <w:sz w:val="16"/>
                <w:szCs w:val="16"/>
                <w:vertAlign w:val="superscript"/>
              </w:rPr>
              <w:t>(2)</w:t>
            </w:r>
            <w:r>
              <w:rPr>
                <w:b/>
                <w:bCs/>
                <w:sz w:val="16"/>
                <w:szCs w:val="16"/>
                <w:vertAlign w:val="superscript"/>
              </w:rPr>
              <w:t xml:space="preserve"> </w:t>
            </w:r>
            <w:r>
              <w:rPr>
                <w:b/>
                <w:bCs/>
                <w:sz w:val="16"/>
                <w:szCs w:val="16"/>
              </w:rPr>
              <w:t>(31.12.2010)</w:t>
            </w:r>
          </w:p>
        </w:tc>
        <w:tc>
          <w:tcPr>
            <w:tcW w:w="1163" w:type="dxa"/>
            <w:shd w:val="clear" w:color="auto" w:fill="auto"/>
            <w:vAlign w:val="bottom"/>
            <w:hideMark/>
          </w:tcPr>
          <w:p>
            <w:pPr>
              <w:jc w:val="right"/>
              <w:rPr>
                <w:b/>
                <w:bCs/>
                <w:sz w:val="16"/>
                <w:szCs w:val="16"/>
              </w:rPr>
            </w:pPr>
            <w:r>
              <w:rPr>
                <w:b/>
                <w:bCs/>
                <w:sz w:val="16"/>
                <w:szCs w:val="16"/>
              </w:rPr>
              <w:t>348.545</w:t>
            </w:r>
          </w:p>
        </w:tc>
        <w:tc>
          <w:tcPr>
            <w:tcW w:w="1276" w:type="dxa"/>
            <w:shd w:val="clear" w:color="auto" w:fill="auto"/>
            <w:vAlign w:val="bottom"/>
            <w:hideMark/>
          </w:tcPr>
          <w:p>
            <w:pPr>
              <w:jc w:val="right"/>
              <w:rPr>
                <w:b/>
                <w:bCs/>
                <w:sz w:val="16"/>
                <w:szCs w:val="16"/>
              </w:rPr>
            </w:pPr>
            <w:r>
              <w:rPr>
                <w:b/>
                <w:bCs/>
                <w:sz w:val="16"/>
                <w:szCs w:val="16"/>
              </w:rPr>
              <w:t>1.200.823</w:t>
            </w:r>
          </w:p>
        </w:tc>
        <w:tc>
          <w:tcPr>
            <w:tcW w:w="1531" w:type="dxa"/>
            <w:shd w:val="clear" w:color="auto" w:fill="auto"/>
            <w:vAlign w:val="bottom"/>
            <w:hideMark/>
          </w:tcPr>
          <w:p>
            <w:pPr>
              <w:jc w:val="right"/>
              <w:rPr>
                <w:b/>
                <w:bCs/>
                <w:sz w:val="16"/>
                <w:szCs w:val="16"/>
              </w:rPr>
            </w:pPr>
            <w:r>
              <w:rPr>
                <w:b/>
                <w:bCs/>
                <w:sz w:val="16"/>
                <w:szCs w:val="16"/>
              </w:rPr>
              <w:t>47.83</w:t>
            </w:r>
            <w:r>
              <w:rPr>
                <w:b/>
                <w:bCs/>
                <w:sz w:val="16"/>
                <w:szCs w:val="16"/>
              </w:rPr>
              <w:t>3</w:t>
            </w:r>
          </w:p>
        </w:tc>
        <w:tc>
          <w:tcPr>
            <w:tcW w:w="1616" w:type="dxa"/>
            <w:shd w:val="clear" w:color="auto" w:fill="auto"/>
            <w:vAlign w:val="bottom"/>
            <w:hideMark/>
          </w:tcPr>
          <w:p>
            <w:pPr>
              <w:jc w:val="right"/>
              <w:rPr>
                <w:b/>
                <w:sz w:val="16"/>
                <w:szCs w:val="16"/>
              </w:rPr>
            </w:pPr>
            <w:r>
              <w:rPr>
                <w:b/>
                <w:sz w:val="16"/>
                <w:szCs w:val="16"/>
              </w:rPr>
              <w:t>1.597.201</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49.033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49.033</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126.059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126.059</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122.042</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122.997</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1.178.241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1.178.241</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51.411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51.411</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13.607</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13.607</w:t>
            </w:r>
          </w:p>
        </w:tc>
      </w:tr>
      <w:tr>
        <w:trPr>
          <w:trHeight w:val="20"/>
        </w:trPr>
        <w:tc>
          <w:tcPr>
            <w:tcW w:w="3798" w:type="dxa"/>
            <w:shd w:val="clear" w:color="auto" w:fill="auto"/>
            <w:vAlign w:val="bottom"/>
            <w:hideMark/>
          </w:tcPr>
          <w:p>
            <w:pPr>
              <w:rPr>
                <w:sz w:val="16"/>
                <w:szCs w:val="16"/>
              </w:rPr>
            </w:pPr>
            <w:r>
              <w:rPr>
                <w:sz w:val="16"/>
                <w:szCs w:val="16"/>
              </w:rPr>
              <w:t>Maddi Duran Varlıklar (Net)</w:t>
            </w:r>
          </w:p>
        </w:tc>
        <w:tc>
          <w:tcPr>
            <w:tcW w:w="1163" w:type="dxa"/>
            <w:shd w:val="clear" w:color="auto" w:fill="auto"/>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7.768</w:t>
            </w:r>
          </w:p>
        </w:tc>
        <w:tc>
          <w:tcPr>
            <w:tcW w:w="1531" w:type="dxa"/>
            <w:shd w:val="clear" w:color="auto" w:fill="auto"/>
            <w:vAlign w:val="bottom"/>
            <w:hideMark/>
          </w:tcPr>
          <w:p>
            <w:pPr>
              <w:jc w:val="right"/>
              <w:rPr>
                <w:sz w:val="16"/>
                <w:szCs w:val="16"/>
              </w:rPr>
            </w:pPr>
            <w:r>
              <w:rPr>
                <w:sz w:val="16"/>
                <w:szCs w:val="16"/>
              </w:rPr>
              <w:t>34.731</w:t>
            </w:r>
          </w:p>
        </w:tc>
        <w:tc>
          <w:tcPr>
            <w:tcW w:w="1616" w:type="dxa"/>
            <w:shd w:val="clear" w:color="auto" w:fill="auto"/>
            <w:vAlign w:val="bottom"/>
            <w:hideMark/>
          </w:tcPr>
          <w:p>
            <w:pPr>
              <w:jc w:val="right"/>
              <w:rPr>
                <w:sz w:val="16"/>
                <w:szCs w:val="16"/>
              </w:rPr>
            </w:pPr>
            <w:r>
              <w:rPr>
                <w:sz w:val="16"/>
                <w:szCs w:val="16"/>
              </w:rPr>
              <w:t>42.499</w:t>
            </w:r>
          </w:p>
        </w:tc>
      </w:tr>
      <w:tr>
        <w:trPr>
          <w:trHeight w:val="20"/>
        </w:trPr>
        <w:tc>
          <w:tcPr>
            <w:tcW w:w="3798" w:type="dxa"/>
            <w:shd w:val="clear" w:color="auto" w:fill="auto"/>
            <w:vAlign w:val="bottom"/>
            <w:hideMark/>
          </w:tcPr>
          <w:p>
            <w:pPr>
              <w:rPr>
                <w:sz w:val="16"/>
                <w:szCs w:val="16"/>
              </w:rPr>
            </w:pPr>
            <w:r>
              <w:rPr>
                <w:sz w:val="16"/>
                <w:szCs w:val="16"/>
              </w:rPr>
              <w:t>Maddi Olmayan Duran Varlıklar (Net)</w:t>
            </w:r>
          </w:p>
        </w:tc>
        <w:tc>
          <w:tcPr>
            <w:tcW w:w="1163" w:type="dxa"/>
            <w:shd w:val="clear" w:color="auto" w:fill="auto"/>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262</w:t>
            </w:r>
          </w:p>
        </w:tc>
        <w:tc>
          <w:tcPr>
            <w:tcW w:w="1616" w:type="dxa"/>
            <w:shd w:val="clear" w:color="auto" w:fill="auto"/>
            <w:vAlign w:val="bottom"/>
            <w:hideMark/>
          </w:tcPr>
          <w:p>
            <w:pPr>
              <w:jc w:val="right"/>
              <w:rPr>
                <w:sz w:val="16"/>
                <w:szCs w:val="16"/>
              </w:rPr>
            </w:pPr>
            <w:r>
              <w:rPr>
                <w:sz w:val="16"/>
                <w:szCs w:val="16"/>
              </w:rPr>
              <w:t>262</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2.492</w:t>
            </w:r>
          </w:p>
        </w:tc>
        <w:tc>
          <w:tcPr>
            <w:tcW w:w="1616" w:type="dxa"/>
            <w:shd w:val="clear" w:color="auto" w:fill="auto"/>
            <w:vAlign w:val="bottom"/>
          </w:tcPr>
          <w:p>
            <w:pPr>
              <w:jc w:val="right"/>
              <w:rPr>
                <w:sz w:val="16"/>
                <w:szCs w:val="16"/>
              </w:rPr>
            </w:pPr>
            <w:r>
              <w:rPr>
                <w:sz w:val="16"/>
                <w:szCs w:val="16"/>
              </w:rPr>
              <w:t>2.492</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1.207</w:t>
            </w:r>
          </w:p>
        </w:tc>
        <w:tc>
          <w:tcPr>
            <w:tcW w:w="1531" w:type="dxa"/>
            <w:shd w:val="clear" w:color="auto" w:fill="auto"/>
            <w:vAlign w:val="bottom"/>
            <w:hideMark/>
          </w:tcPr>
          <w:p>
            <w:pPr>
              <w:jc w:val="right"/>
              <w:rPr>
                <w:sz w:val="16"/>
                <w:szCs w:val="16"/>
              </w:rPr>
            </w:pPr>
            <w:r>
              <w:rPr>
                <w:sz w:val="16"/>
                <w:szCs w:val="16"/>
              </w:rPr>
              <w:t>9.393</w:t>
            </w:r>
          </w:p>
        </w:tc>
        <w:tc>
          <w:tcPr>
            <w:tcW w:w="1616" w:type="dxa"/>
            <w:shd w:val="clear" w:color="auto" w:fill="auto"/>
            <w:vAlign w:val="bottom"/>
            <w:hideMark/>
          </w:tcPr>
          <w:p>
            <w:pPr>
              <w:jc w:val="right"/>
              <w:rPr>
                <w:sz w:val="16"/>
                <w:szCs w:val="16"/>
              </w:rPr>
            </w:pPr>
            <w:r>
              <w:rPr>
                <w:sz w:val="16"/>
                <w:szCs w:val="16"/>
              </w:rPr>
              <w:t>10.600</w:t>
            </w:r>
          </w:p>
        </w:tc>
      </w:tr>
      <w:tr>
        <w:trPr>
          <w:trHeight w:val="170"/>
        </w:trPr>
        <w:tc>
          <w:tcPr>
            <w:tcW w:w="3798" w:type="dxa"/>
            <w:shd w:val="clear" w:color="auto" w:fill="auto"/>
            <w:vAlign w:val="bottom"/>
            <w:hideMark/>
          </w:tcPr>
          <w:p>
            <w:pPr>
              <w:rPr>
                <w:sz w:val="16"/>
                <w:szCs w:val="16"/>
              </w:rPr>
            </w:pPr>
          </w:p>
        </w:tc>
        <w:tc>
          <w:tcPr>
            <w:tcW w:w="1163" w:type="dxa"/>
            <w:shd w:val="clear" w:color="auto" w:fill="auto"/>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YÜKÜMLÜLÜKLERİ </w:t>
            </w:r>
            <w:r>
              <w:rPr>
                <w:b/>
                <w:bCs/>
                <w:sz w:val="16"/>
                <w:szCs w:val="16"/>
                <w:vertAlign w:val="superscript"/>
              </w:rPr>
              <w:t>(2)</w:t>
            </w:r>
            <w:r>
              <w:rPr>
                <w:b/>
                <w:bCs/>
                <w:sz w:val="16"/>
                <w:szCs w:val="16"/>
                <w:vertAlign w:val="superscript"/>
              </w:rPr>
              <w:t xml:space="preserve"> </w:t>
            </w:r>
            <w:r>
              <w:rPr>
                <w:b/>
                <w:bCs/>
                <w:sz w:val="16"/>
                <w:szCs w:val="16"/>
              </w:rPr>
              <w:t>(31.12.2010)</w:t>
            </w:r>
          </w:p>
        </w:tc>
        <w:tc>
          <w:tcPr>
            <w:tcW w:w="1163" w:type="dxa"/>
            <w:shd w:val="clear" w:color="auto" w:fill="auto"/>
            <w:vAlign w:val="bottom"/>
            <w:hideMark/>
          </w:tcPr>
          <w:p>
            <w:pPr>
              <w:jc w:val="right"/>
              <w:rPr>
                <w:b/>
                <w:bCs/>
                <w:sz w:val="16"/>
                <w:szCs w:val="16"/>
              </w:rPr>
            </w:pPr>
            <w:r>
              <w:rPr>
                <w:b/>
                <w:bCs/>
                <w:sz w:val="16"/>
                <w:szCs w:val="16"/>
              </w:rPr>
              <w:t>373</w:t>
            </w:r>
          </w:p>
        </w:tc>
        <w:tc>
          <w:tcPr>
            <w:tcW w:w="1276" w:type="dxa"/>
            <w:shd w:val="clear" w:color="auto" w:fill="auto"/>
            <w:vAlign w:val="bottom"/>
            <w:hideMark/>
          </w:tcPr>
          <w:p>
            <w:pPr>
              <w:jc w:val="right"/>
              <w:rPr>
                <w:b/>
                <w:bCs/>
                <w:sz w:val="16"/>
                <w:szCs w:val="16"/>
              </w:rPr>
            </w:pPr>
            <w:r>
              <w:rPr>
                <w:b/>
                <w:bCs/>
                <w:sz w:val="16"/>
                <w:szCs w:val="16"/>
              </w:rPr>
              <w:t>1.053.383</w:t>
            </w:r>
          </w:p>
        </w:tc>
        <w:tc>
          <w:tcPr>
            <w:tcW w:w="1531" w:type="dxa"/>
            <w:shd w:val="clear" w:color="auto" w:fill="auto"/>
            <w:vAlign w:val="bottom"/>
            <w:hideMark/>
          </w:tcPr>
          <w:p>
            <w:pPr>
              <w:jc w:val="right"/>
              <w:rPr>
                <w:b/>
                <w:bCs/>
                <w:sz w:val="16"/>
                <w:szCs w:val="16"/>
              </w:rPr>
            </w:pPr>
            <w:r>
              <w:rPr>
                <w:b/>
                <w:bCs/>
                <w:sz w:val="16"/>
                <w:szCs w:val="16"/>
              </w:rPr>
              <w:t>543.445</w:t>
            </w:r>
          </w:p>
        </w:tc>
        <w:tc>
          <w:tcPr>
            <w:tcW w:w="1616" w:type="dxa"/>
            <w:shd w:val="clear" w:color="auto" w:fill="auto"/>
            <w:vAlign w:val="bottom"/>
            <w:hideMark/>
          </w:tcPr>
          <w:p>
            <w:pPr>
              <w:jc w:val="right"/>
              <w:rPr>
                <w:b/>
                <w:sz w:val="16"/>
                <w:szCs w:val="16"/>
              </w:rPr>
            </w:pPr>
            <w:r>
              <w:rPr>
                <w:b/>
                <w:sz w:val="16"/>
                <w:szCs w:val="16"/>
              </w:rPr>
              <w:t>1.597.201</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38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38</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1.047.679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1.047.679</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335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335</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5.704</w:t>
            </w:r>
          </w:p>
        </w:tc>
        <w:tc>
          <w:tcPr>
            <w:tcW w:w="1531" w:type="dxa"/>
            <w:shd w:val="clear" w:color="auto" w:fill="auto"/>
            <w:vAlign w:val="bottom"/>
            <w:hideMark/>
          </w:tcPr>
          <w:p>
            <w:pPr>
              <w:jc w:val="right"/>
              <w:rPr>
                <w:sz w:val="16"/>
                <w:szCs w:val="16"/>
              </w:rPr>
            </w:pPr>
            <w:r>
              <w:rPr>
                <w:sz w:val="16"/>
                <w:szCs w:val="16"/>
              </w:rPr>
              <w:t>18.021</w:t>
            </w:r>
          </w:p>
        </w:tc>
        <w:tc>
          <w:tcPr>
            <w:tcW w:w="1616" w:type="dxa"/>
            <w:shd w:val="clear" w:color="auto" w:fill="auto"/>
            <w:vAlign w:val="bottom"/>
            <w:hideMark/>
          </w:tcPr>
          <w:p>
            <w:pPr>
              <w:jc w:val="right"/>
              <w:rPr>
                <w:sz w:val="16"/>
                <w:szCs w:val="16"/>
              </w:rPr>
            </w:pPr>
            <w:r>
              <w:rPr>
                <w:sz w:val="16"/>
                <w:szCs w:val="16"/>
              </w:rPr>
              <w:t>23.725</w:t>
            </w:r>
          </w:p>
        </w:tc>
      </w:tr>
      <w:tr>
        <w:trPr>
          <w:trHeight w:val="20"/>
        </w:trPr>
        <w:tc>
          <w:tcPr>
            <w:tcW w:w="3798" w:type="dxa"/>
            <w:shd w:val="clear" w:color="auto" w:fill="auto"/>
            <w:vAlign w:val="bottom"/>
          </w:tcPr>
          <w:p>
            <w:pPr>
              <w:rPr>
                <w:sz w:val="16"/>
                <w:szCs w:val="16"/>
              </w:rPr>
            </w:pPr>
            <w:r>
              <w:rPr>
                <w:sz w:val="16"/>
                <w:szCs w:val="16"/>
              </w:rPr>
              <w:t>Özkaynaklar</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513.688</w:t>
            </w:r>
          </w:p>
        </w:tc>
        <w:tc>
          <w:tcPr>
            <w:tcW w:w="1616" w:type="dxa"/>
            <w:shd w:val="clear" w:color="auto" w:fill="auto"/>
            <w:vAlign w:val="bottom"/>
          </w:tcPr>
          <w:p>
            <w:pPr>
              <w:jc w:val="right"/>
              <w:rPr>
                <w:sz w:val="16"/>
                <w:szCs w:val="16"/>
              </w:rPr>
            </w:pPr>
            <w:r>
              <w:rPr>
                <w:sz w:val="16"/>
                <w:szCs w:val="16"/>
              </w:rPr>
              <w:t>513.688</w:t>
            </w:r>
          </w:p>
        </w:tc>
      </w:tr>
      <w:tr>
        <w:trPr>
          <w:trHeight w:val="20"/>
        </w:trPr>
        <w:tc>
          <w:tcPr>
            <w:tcW w:w="3798" w:type="dxa"/>
            <w:shd w:val="clear" w:color="auto" w:fill="auto"/>
            <w:vAlign w:val="bottom"/>
          </w:tcPr>
          <w:p>
            <w:pPr>
              <w:rPr>
                <w:sz w:val="16"/>
                <w:szCs w:val="16"/>
              </w:rPr>
            </w:pPr>
            <w:r>
              <w:rPr>
                <w:sz w:val="16"/>
                <w:szCs w:val="16"/>
              </w:rPr>
              <w:t>Diğer Yükümlülükler</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11.736</w:t>
            </w:r>
          </w:p>
        </w:tc>
        <w:tc>
          <w:tcPr>
            <w:tcW w:w="1616" w:type="dxa"/>
            <w:shd w:val="clear" w:color="auto" w:fill="auto"/>
            <w:vAlign w:val="bottom"/>
          </w:tcPr>
          <w:p>
            <w:pPr>
              <w:jc w:val="right"/>
              <w:rPr>
                <w:sz w:val="16"/>
                <w:szCs w:val="16"/>
              </w:rPr>
            </w:pPr>
            <w:r>
              <w:rPr>
                <w:sz w:val="16"/>
                <w:szCs w:val="16"/>
              </w:rPr>
              <w:t>11.736</w:t>
            </w:r>
          </w:p>
        </w:tc>
      </w:tr>
    </w:tbl>
    <w:p>
      <w:pPr>
        <w:ind w:left="567" w:hanging="567"/>
        <w:jc w:val="both"/>
        <w:rPr>
          <w:b/>
          <w:bCs/>
          <w:sz w:val="12"/>
          <w:szCs w:val="12"/>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Hazine ve Yatırım 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r>
        <w:rPr>
          <w:rFonts w:eastAsia="Arial Unicode MS"/>
          <w:bCs/>
          <w:sz w:val="18"/>
          <w:szCs w:val="18"/>
        </w:rPr>
        <w:t>Bölümlerarası fon aktarımından kaynaklanan alacak ve borç bulunmamaktadır.</w:t>
      </w:r>
    </w:p>
    <w:p>
      <w:pPr>
        <w:tabs>
          <w:tab w:val="left" w:pos="709"/>
        </w:tabs>
        <w:jc w:val="both"/>
        <w:rPr>
          <w:b/>
          <w:bCs/>
          <w:sz w:val="16"/>
          <w:szCs w:val="16"/>
        </w:rPr>
      </w:pPr>
    </w:p>
    <w:p>
      <w:pPr>
        <w:tabs>
          <w:tab w:val="left" w:pos="709"/>
        </w:tabs>
        <w:jc w:val="both"/>
        <w:rPr>
          <w:b/>
          <w:bCs/>
          <w:sz w:val="22"/>
          <w:szCs w:val="22"/>
        </w:rPr>
      </w:pPr>
      <w:r>
        <w:rPr>
          <w:b/>
          <w:bCs/>
          <w:sz w:val="22"/>
          <w:szCs w:val="22"/>
        </w:rPr>
        <w:t>XXI</w:t>
      </w:r>
      <w:r>
        <w:rPr>
          <w:b/>
          <w:bCs/>
          <w:sz w:val="22"/>
          <w:szCs w:val="22"/>
        </w:rPr>
        <w:t>I</w:t>
      </w:r>
      <w:r>
        <w:rPr>
          <w:b/>
          <w:bCs/>
          <w:sz w:val="22"/>
          <w:szCs w:val="22"/>
        </w:rPr>
        <w:t>-</w:t>
      </w:r>
      <w:r>
        <w:rPr>
          <w:b/>
          <w:bCs/>
          <w:sz w:val="22"/>
          <w:szCs w:val="22"/>
        </w:rPr>
        <w:tab/>
      </w:r>
      <w:r>
        <w:rPr>
          <w:b/>
          <w:bCs/>
          <w:sz w:val="22"/>
          <w:szCs w:val="22"/>
        </w:rPr>
        <w:t>Diğer hususlara ilişkin açıklamalar:</w:t>
      </w:r>
    </w:p>
    <w:p>
      <w:pPr>
        <w:pStyle w:val="BodyText"/>
        <w:tabs>
          <w:tab w:val="clear" w:pos="567"/>
          <w:tab w:val="clear" w:pos="720"/>
          <w:tab w:val="left" w:pos="851"/>
        </w:tabs>
        <w:ind w:left="851"/>
        <w:rPr>
          <w:sz w:val="16"/>
          <w:szCs w:val="16"/>
        </w:rPr>
      </w:pPr>
    </w:p>
    <w:p>
      <w:pPr>
        <w:pStyle w:val="BodyText"/>
        <w:tabs>
          <w:tab w:val="clear" w:pos="567"/>
          <w:tab w:val="clear" w:pos="720"/>
        </w:tabs>
        <w:ind w:left="709"/>
        <w:rPr>
          <w:b/>
          <w:bCs/>
          <w:sz w:val="22"/>
          <w:szCs w:val="22"/>
        </w:rPr>
      </w:pPr>
      <w:r>
        <w:rPr>
          <w:sz w:val="22"/>
          <w:szCs w:val="22"/>
        </w:rPr>
        <w:t>Banka’nın 20</w:t>
      </w:r>
      <w:r>
        <w:rPr>
          <w:sz w:val="22"/>
          <w:szCs w:val="22"/>
        </w:rPr>
        <w:t>10</w:t>
      </w:r>
      <w:r>
        <w:rPr>
          <w:sz w:val="22"/>
          <w:szCs w:val="22"/>
        </w:rPr>
        <w:t xml:space="preserve"> yılı Olağan Genel Kurul Toplantısı </w:t>
      </w:r>
      <w:r>
        <w:rPr>
          <w:sz w:val="22"/>
          <w:szCs w:val="22"/>
        </w:rPr>
        <w:t>2</w:t>
      </w:r>
      <w:r>
        <w:rPr>
          <w:sz w:val="22"/>
          <w:szCs w:val="22"/>
        </w:rPr>
        <w:t>8</w:t>
      </w:r>
      <w:r>
        <w:rPr>
          <w:sz w:val="22"/>
          <w:szCs w:val="22"/>
        </w:rPr>
        <w:t xml:space="preserve"> </w:t>
      </w:r>
      <w:r>
        <w:rPr>
          <w:sz w:val="22"/>
          <w:szCs w:val="22"/>
        </w:rPr>
        <w:t>Nisan</w:t>
      </w:r>
      <w:r>
        <w:rPr>
          <w:sz w:val="22"/>
          <w:szCs w:val="22"/>
        </w:rPr>
        <w:t xml:space="preserve"> 2</w:t>
      </w:r>
      <w:r>
        <w:rPr>
          <w:sz w:val="22"/>
          <w:szCs w:val="22"/>
        </w:rPr>
        <w:t>01</w:t>
      </w:r>
      <w:r>
        <w:rPr>
          <w:sz w:val="22"/>
          <w:szCs w:val="22"/>
        </w:rPr>
        <w:t>1</w:t>
      </w:r>
      <w:r>
        <w:rPr>
          <w:sz w:val="22"/>
          <w:szCs w:val="22"/>
        </w:rPr>
        <w:t xml:space="preserve"> tarihinde gerçekleştirilmiştir</w:t>
      </w:r>
      <w:r>
        <w:rPr>
          <w:sz w:val="22"/>
          <w:szCs w:val="22"/>
        </w:rPr>
        <w:t>.</w:t>
      </w:r>
      <w:r>
        <w:rPr>
          <w:sz w:val="22"/>
          <w:szCs w:val="22"/>
        </w:rPr>
        <w:t xml:space="preserve"> </w:t>
      </w:r>
      <w:r>
        <w:rPr>
          <w:sz w:val="22"/>
          <w:szCs w:val="22"/>
        </w:rPr>
        <w:t>12</w:t>
      </w:r>
      <w:r>
        <w:rPr>
          <w:sz w:val="22"/>
          <w:szCs w:val="22"/>
        </w:rPr>
        <w:t xml:space="preserve"> </w:t>
      </w:r>
      <w:r>
        <w:rPr>
          <w:sz w:val="22"/>
          <w:szCs w:val="22"/>
        </w:rPr>
        <w:t>Nisan</w:t>
      </w:r>
      <w:r>
        <w:rPr>
          <w:sz w:val="22"/>
          <w:szCs w:val="22"/>
        </w:rPr>
        <w:t xml:space="preserve"> 201</w:t>
      </w:r>
      <w:r>
        <w:rPr>
          <w:sz w:val="22"/>
          <w:szCs w:val="22"/>
        </w:rPr>
        <w:t>1</w:t>
      </w:r>
      <w:r>
        <w:rPr>
          <w:sz w:val="22"/>
          <w:szCs w:val="22"/>
        </w:rPr>
        <w:t xml:space="preserve"> tarihinde alınmış olan Yönetim Kurulu kararına göre,</w:t>
      </w:r>
      <w:r>
        <w:rPr>
          <w:sz w:val="22"/>
          <w:szCs w:val="22"/>
        </w:rPr>
        <w:t xml:space="preserve"> 3</w:t>
      </w:r>
      <w:r>
        <w:rPr>
          <w:sz w:val="22"/>
          <w:szCs w:val="22"/>
        </w:rPr>
        <w:t>1</w:t>
      </w:r>
      <w:r>
        <w:rPr>
          <w:sz w:val="22"/>
          <w:szCs w:val="22"/>
        </w:rPr>
        <w:t xml:space="preserve"> </w:t>
      </w:r>
      <w:r>
        <w:rPr>
          <w:sz w:val="22"/>
          <w:szCs w:val="22"/>
        </w:rPr>
        <w:t>Aralık</w:t>
      </w:r>
      <w:r>
        <w:rPr>
          <w:sz w:val="22"/>
          <w:szCs w:val="22"/>
        </w:rPr>
        <w:t xml:space="preserve"> 2010 tarihli </w:t>
      </w:r>
      <w:r>
        <w:rPr>
          <w:sz w:val="22"/>
          <w:szCs w:val="22"/>
        </w:rPr>
        <w:t xml:space="preserve">finansal </w:t>
      </w:r>
      <w:r>
        <w:rPr>
          <w:sz w:val="22"/>
          <w:szCs w:val="22"/>
        </w:rPr>
        <w:t>tablolarda,</w:t>
      </w:r>
      <w:r>
        <w:rPr>
          <w:sz w:val="22"/>
          <w:szCs w:val="22"/>
        </w:rPr>
        <w:t xml:space="preserve"> </w:t>
      </w:r>
      <w:r>
        <w:rPr>
          <w:sz w:val="22"/>
          <w:szCs w:val="22"/>
        </w:rPr>
        <w:t>20</w:t>
      </w:r>
      <w:r>
        <w:rPr>
          <w:sz w:val="22"/>
          <w:szCs w:val="22"/>
        </w:rPr>
        <w:t>10</w:t>
      </w:r>
      <w:r>
        <w:rPr>
          <w:sz w:val="22"/>
          <w:szCs w:val="22"/>
        </w:rPr>
        <w:t xml:space="preserve"> yılı 2</w:t>
      </w:r>
      <w:r>
        <w:rPr>
          <w:sz w:val="22"/>
          <w:szCs w:val="22"/>
        </w:rPr>
        <w:t>1</w:t>
      </w:r>
      <w:r>
        <w:rPr>
          <w:sz w:val="22"/>
          <w:szCs w:val="22"/>
        </w:rPr>
        <w:t>.</w:t>
      </w:r>
      <w:r>
        <w:rPr>
          <w:sz w:val="22"/>
          <w:szCs w:val="22"/>
        </w:rPr>
        <w:t>121</w:t>
      </w:r>
      <w:r>
        <w:rPr>
          <w:sz w:val="22"/>
          <w:szCs w:val="22"/>
        </w:rPr>
        <w:t xml:space="preserve"> Bin TL tutarındaki net dönem karı</w:t>
      </w:r>
      <w:r>
        <w:rPr>
          <w:sz w:val="22"/>
          <w:szCs w:val="22"/>
        </w:rPr>
        <w:t xml:space="preserve"> üzerinden 1</w:t>
      </w:r>
      <w:r>
        <w:rPr>
          <w:sz w:val="22"/>
          <w:szCs w:val="22"/>
        </w:rPr>
        <w:t>.056</w:t>
      </w:r>
      <w:r>
        <w:rPr>
          <w:sz w:val="22"/>
          <w:szCs w:val="22"/>
        </w:rPr>
        <w:t xml:space="preserve"> Bin TL tutarında birinci tertip yasal yedek akçe </w:t>
      </w:r>
      <w:r>
        <w:rPr>
          <w:sz w:val="22"/>
          <w:szCs w:val="22"/>
        </w:rPr>
        <w:t xml:space="preserve">ayrılarak, bu tutar </w:t>
      </w:r>
      <w:r>
        <w:rPr>
          <w:sz w:val="22"/>
          <w:szCs w:val="22"/>
        </w:rPr>
        <w:t>düşüldükten sonra kalan 2</w:t>
      </w:r>
      <w:r>
        <w:rPr>
          <w:sz w:val="22"/>
          <w:szCs w:val="22"/>
        </w:rPr>
        <w:t>0</w:t>
      </w:r>
      <w:r>
        <w:rPr>
          <w:sz w:val="22"/>
          <w:szCs w:val="22"/>
        </w:rPr>
        <w:t>.0</w:t>
      </w:r>
      <w:r>
        <w:rPr>
          <w:sz w:val="22"/>
          <w:szCs w:val="22"/>
        </w:rPr>
        <w:t>65</w:t>
      </w:r>
      <w:r>
        <w:rPr>
          <w:sz w:val="22"/>
          <w:szCs w:val="22"/>
        </w:rPr>
        <w:t xml:space="preserve"> Bin TL tutarındaki net dağıtılabilir dönem karının </w:t>
      </w:r>
      <w:r>
        <w:rPr>
          <w:sz w:val="22"/>
          <w:szCs w:val="22"/>
        </w:rPr>
        <w:t>4</w:t>
      </w:r>
      <w:r>
        <w:rPr>
          <w:sz w:val="22"/>
          <w:szCs w:val="22"/>
        </w:rPr>
        <w:t>.</w:t>
      </w:r>
      <w:r>
        <w:rPr>
          <w:sz w:val="22"/>
          <w:szCs w:val="22"/>
        </w:rPr>
        <w:t>224</w:t>
      </w:r>
      <w:r>
        <w:rPr>
          <w:sz w:val="22"/>
          <w:szCs w:val="22"/>
        </w:rPr>
        <w:t xml:space="preserve"> Bin TL’s</w:t>
      </w:r>
      <w:r>
        <w:rPr>
          <w:sz w:val="22"/>
          <w:szCs w:val="22"/>
        </w:rPr>
        <w:t xml:space="preserve">i ortaklara birinci temettü, </w:t>
      </w:r>
      <w:r>
        <w:rPr>
          <w:sz w:val="22"/>
          <w:szCs w:val="22"/>
        </w:rPr>
        <w:t>604</w:t>
      </w:r>
      <w:r>
        <w:rPr>
          <w:sz w:val="22"/>
          <w:szCs w:val="22"/>
        </w:rPr>
        <w:t xml:space="preserve"> Bin TL’si perso</w:t>
      </w:r>
      <w:r>
        <w:rPr>
          <w:sz w:val="22"/>
          <w:szCs w:val="22"/>
        </w:rPr>
        <w:t>nele temettü olarak dağıtılmış</w:t>
      </w:r>
      <w:r>
        <w:rPr>
          <w:sz w:val="22"/>
          <w:szCs w:val="22"/>
        </w:rPr>
        <w:t xml:space="preserve">, </w:t>
      </w:r>
      <w:r>
        <w:rPr>
          <w:sz w:val="22"/>
          <w:szCs w:val="22"/>
        </w:rPr>
        <w:t>6</w:t>
      </w:r>
      <w:r>
        <w:rPr>
          <w:sz w:val="22"/>
          <w:szCs w:val="22"/>
        </w:rPr>
        <w:t>0</w:t>
      </w:r>
      <w:r>
        <w:rPr>
          <w:sz w:val="22"/>
          <w:szCs w:val="22"/>
        </w:rPr>
        <w:t xml:space="preserve"> Bin TL’si iki</w:t>
      </w:r>
      <w:r>
        <w:rPr>
          <w:sz w:val="22"/>
          <w:szCs w:val="22"/>
        </w:rPr>
        <w:t>nci tertip yasal yedek akçe, 1</w:t>
      </w:r>
      <w:r>
        <w:rPr>
          <w:sz w:val="22"/>
          <w:szCs w:val="22"/>
        </w:rPr>
        <w:t>5</w:t>
      </w:r>
      <w:r>
        <w:rPr>
          <w:sz w:val="22"/>
          <w:szCs w:val="22"/>
        </w:rPr>
        <w:t>.</w:t>
      </w:r>
      <w:r>
        <w:rPr>
          <w:sz w:val="22"/>
          <w:szCs w:val="22"/>
        </w:rPr>
        <w:t>177</w:t>
      </w:r>
      <w:r>
        <w:rPr>
          <w:sz w:val="22"/>
          <w:szCs w:val="22"/>
        </w:rPr>
        <w:t xml:space="preserve"> Bin TL’si ise olağanüstü yedek</w:t>
      </w:r>
      <w:r>
        <w:rPr>
          <w:sz w:val="22"/>
          <w:szCs w:val="22"/>
        </w:rPr>
        <w:t xml:space="preserve"> akçe</w:t>
      </w:r>
      <w:r>
        <w:rPr>
          <w:sz w:val="22"/>
          <w:szCs w:val="22"/>
        </w:rPr>
        <w:t xml:space="preserve"> olarak ayrıl</w:t>
      </w:r>
      <w:r>
        <w:rPr>
          <w:sz w:val="22"/>
          <w:szCs w:val="22"/>
        </w:rPr>
        <w:t>m</w:t>
      </w:r>
      <w:r>
        <w:rPr>
          <w:sz w:val="22"/>
          <w:szCs w:val="22"/>
        </w:rPr>
        <w:t>ıştır</w:t>
      </w:r>
      <w:r>
        <w:rPr>
          <w:sz w:val="22"/>
          <w:szCs w:val="22"/>
        </w:rPr>
        <w:t>.</w:t>
      </w:r>
      <w:r>
        <w:rPr>
          <w:b/>
          <w:bCs/>
          <w:sz w:val="22"/>
          <w:szCs w:val="22"/>
        </w:rPr>
        <w:t xml:space="preserve"> </w:t>
      </w:r>
    </w:p>
    <w:p>
      <w:pPr>
        <w:pStyle w:val="BodyText"/>
        <w:tabs>
          <w:tab w:val="clear" w:pos="567"/>
          <w:tab w:val="clear" w:pos="720"/>
        </w:tabs>
        <w:ind w:left="709"/>
        <w:rPr>
          <w:b/>
          <w:bCs/>
          <w:sz w:val="16"/>
          <w:szCs w:val="16"/>
        </w:rPr>
      </w:pPr>
    </w:p>
    <w:p>
      <w:pPr>
        <w:pStyle w:val="BodyText"/>
        <w:tabs>
          <w:tab w:val="clear" w:pos="0"/>
          <w:tab w:val="clear" w:pos="567"/>
          <w:tab w:val="clear" w:pos="720"/>
        </w:tabs>
        <w:ind w:left="709"/>
        <w:rPr>
          <w:b/>
          <w:bCs/>
          <w:sz w:val="22"/>
          <w:szCs w:val="22"/>
        </w:rPr>
      </w:pPr>
      <w:r>
        <w:rPr>
          <w:sz w:val="22"/>
          <w:szCs w:val="22"/>
        </w:rPr>
        <w:t>Banka, “Bankalarca Kredilerin ve Diğer Alacakların Niteliklerinin Belirlenmesi ve Bunlar İçin Ayrılacak Karşılıklara ilişkin Usul ve Esaslar Hakkında Yönetmelik”in Geçici 4. Maddesi (Eklenen madde: RG-6/3/2010-27513) kapsamında, 6 Mart 2010 ve 1 Mart 2011 tarihleri arasında kullandırdığı krediler için genel karşılık oranını yüzde sıfır olarak uygulamıştır. Geçici uygulama Bankacılık Düzenleme ve Denetleme Kurulu’nun 10.02.2011 tarih ve 4065 sayılı Kararı ile sona ermiş olup,  bu nedenle  Banka belirtilen dönemd</w:t>
      </w:r>
      <w:r>
        <w:rPr>
          <w:sz w:val="22"/>
          <w:szCs w:val="22"/>
        </w:rPr>
        <w:t>en kaynaklanan ve  5.692 Bin TL</w:t>
      </w:r>
      <w:r>
        <w:rPr>
          <w:sz w:val="22"/>
          <w:szCs w:val="22"/>
        </w:rPr>
        <w:t xml:space="preserve"> olarak hesaplanan genel karşılık tutarını </w:t>
      </w:r>
      <w:r>
        <w:rPr>
          <w:sz w:val="22"/>
          <w:szCs w:val="22"/>
        </w:rPr>
        <w:t xml:space="preserve">ilk üç aylık </w:t>
      </w:r>
      <w:r>
        <w:rPr>
          <w:sz w:val="22"/>
          <w:szCs w:val="22"/>
        </w:rPr>
        <w:t>dönemde gider yazmıştır.</w:t>
      </w:r>
      <w:r>
        <w:rPr>
          <w:b/>
          <w:bCs/>
          <w:sz w:val="22"/>
          <w:szCs w:val="22"/>
        </w:rPr>
        <w:br w:type="page"/>
      </w:r>
    </w:p>
    <w:p>
      <w:pPr>
        <w:tabs>
          <w:tab w:val="num" w:pos="720"/>
        </w:tabs>
        <w:ind w:left="567"/>
        <w:jc w:val="center"/>
        <w:rPr>
          <w:b/>
          <w:bCs/>
          <w:sz w:val="22"/>
          <w:szCs w:val="22"/>
        </w:rPr>
      </w:pPr>
    </w:p>
    <w:p>
      <w:pPr>
        <w:tabs>
          <w:tab w:val="num" w:pos="720"/>
        </w:tabs>
        <w:ind w:left="567"/>
        <w:jc w:val="center"/>
        <w:rPr>
          <w:b/>
          <w:bCs/>
          <w:sz w:val="22"/>
          <w:szCs w:val="22"/>
        </w:rPr>
      </w:pPr>
      <w:r>
        <w:rPr>
          <w:b/>
          <w:bCs/>
          <w:sz w:val="22"/>
          <w:szCs w:val="22"/>
        </w:rPr>
        <w:t>DÖRDÜN</w:t>
      </w:r>
      <w:r>
        <w:rPr>
          <w:b/>
          <w:bCs/>
          <w:sz w:val="22"/>
          <w:szCs w:val="22"/>
        </w:rPr>
        <w:t>C</w:t>
      </w:r>
      <w:r>
        <w:rPr>
          <w:b/>
          <w:bCs/>
          <w:sz w:val="22"/>
          <w:szCs w:val="22"/>
        </w:rPr>
        <w:t xml:space="preserve">Ü </w:t>
      </w:r>
      <w:r>
        <w:rPr>
          <w:b/>
          <w:bCs/>
          <w:sz w:val="22"/>
          <w:szCs w:val="22"/>
        </w:rPr>
        <w:t>BÖLÜ</w:t>
      </w:r>
      <w:r>
        <w:rPr>
          <w:b/>
          <w:bCs/>
          <w:sz w:val="22"/>
          <w:szCs w:val="22"/>
        </w:rPr>
        <w:t>M</w:t>
      </w:r>
    </w:p>
    <w:p>
      <w:pPr>
        <w:ind w:left="567"/>
        <w:jc w:val="center"/>
        <w:rPr>
          <w:sz w:val="22"/>
          <w:szCs w:val="22"/>
        </w:rPr>
      </w:pPr>
      <w:r>
        <w:rPr>
          <w:b/>
          <w:bCs/>
          <w:sz w:val="22"/>
          <w:szCs w:val="22"/>
        </w:rPr>
        <w:t>MALİ BÜNYEYE İLİŞKİN BİLGİLER</w:t>
      </w:r>
    </w:p>
    <w:p>
      <w:pPr>
        <w:ind w:left="567"/>
        <w:jc w:val="center"/>
        <w:rPr>
          <w:sz w:val="16"/>
          <w:szCs w:val="16"/>
        </w:rPr>
      </w:pPr>
    </w:p>
    <w:p>
      <w:pPr>
        <w:tabs>
          <w:tab w:val="left" w:pos="567"/>
        </w:tabs>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w:t>
      </w:r>
    </w:p>
    <w:p>
      <w:pPr>
        <w:ind w:left="567" w:hanging="567"/>
        <w:jc w:val="both"/>
        <w:rPr>
          <w:b/>
          <w:bCs/>
          <w:sz w:val="22"/>
          <w:szCs w:val="22"/>
        </w:rPr>
      </w:pPr>
    </w:p>
    <w:p>
      <w:pPr>
        <w:ind w:left="567"/>
        <w:jc w:val="both"/>
        <w:rPr>
          <w:sz w:val="22"/>
          <w:szCs w:val="22"/>
        </w:rPr>
      </w:pPr>
      <w:r>
        <w:rPr>
          <w:sz w:val="22"/>
          <w:szCs w:val="22"/>
        </w:rPr>
        <w:t>Banka</w:t>
      </w:r>
      <w:r>
        <w:rPr>
          <w:sz w:val="22"/>
          <w:szCs w:val="22"/>
        </w:rPr>
        <w:t>’</w:t>
      </w:r>
      <w:r>
        <w:rPr>
          <w:sz w:val="22"/>
          <w:szCs w:val="22"/>
        </w:rPr>
        <w:t>nın sermaye yet</w:t>
      </w:r>
      <w:r>
        <w:rPr>
          <w:sz w:val="22"/>
          <w:szCs w:val="22"/>
        </w:rPr>
        <w:t>erliliği standart oranı</w:t>
      </w:r>
      <w:r>
        <w:rPr>
          <w:sz w:val="22"/>
          <w:szCs w:val="22"/>
        </w:rPr>
        <w:t xml:space="preserve"> (piyasa riski dahil) </w:t>
      </w:r>
      <w:r>
        <w:rPr>
          <w:bCs/>
          <w:sz w:val="22"/>
          <w:szCs w:val="22"/>
        </w:rPr>
        <w:t>%</w:t>
      </w:r>
      <w:r>
        <w:rPr>
          <w:bCs/>
          <w:sz w:val="22"/>
          <w:szCs w:val="22"/>
        </w:rPr>
        <w:t xml:space="preserve"> </w:t>
      </w:r>
      <w:r>
        <w:rPr>
          <w:bCs/>
          <w:sz w:val="22"/>
          <w:szCs w:val="22"/>
        </w:rPr>
        <w:t>61,</w:t>
      </w:r>
      <w:r>
        <w:rPr>
          <w:bCs/>
          <w:sz w:val="22"/>
          <w:szCs w:val="22"/>
        </w:rPr>
        <w:t>75</w:t>
      </w:r>
      <w:r>
        <w:rPr>
          <w:bCs/>
          <w:sz w:val="22"/>
          <w:szCs w:val="22"/>
        </w:rPr>
        <w:t>’dir.</w:t>
      </w:r>
      <w:r>
        <w:rPr>
          <w:sz w:val="22"/>
          <w:szCs w:val="22"/>
        </w:rPr>
        <w:t xml:space="preserve"> </w:t>
      </w:r>
      <w:r>
        <w:rPr>
          <w:sz w:val="22"/>
          <w:szCs w:val="22"/>
        </w:rPr>
        <w:t>(31 Aralık 20</w:t>
      </w:r>
      <w:r>
        <w:rPr>
          <w:sz w:val="22"/>
          <w:szCs w:val="22"/>
        </w:rPr>
        <w:t>10</w:t>
      </w:r>
      <w:r>
        <w:rPr>
          <w:sz w:val="22"/>
          <w:szCs w:val="22"/>
        </w:rPr>
        <w:t>: %7</w:t>
      </w:r>
      <w:r>
        <w:rPr>
          <w:sz w:val="22"/>
          <w:szCs w:val="22"/>
        </w:rPr>
        <w:t>5</w:t>
      </w:r>
      <w:r>
        <w:rPr>
          <w:sz w:val="22"/>
          <w:szCs w:val="22"/>
        </w:rPr>
        <w:t>.</w:t>
      </w:r>
      <w:r>
        <w:rPr>
          <w:sz w:val="22"/>
          <w:szCs w:val="22"/>
        </w:rPr>
        <w:t>22</w:t>
      </w:r>
      <w:r>
        <w:rPr>
          <w:sz w:val="22"/>
          <w:szCs w:val="22"/>
        </w:rPr>
        <w:t>).</w:t>
      </w:r>
      <w:r>
        <w:rPr>
          <w:sz w:val="22"/>
          <w:szCs w:val="22"/>
        </w:rPr>
        <w:t xml:space="preserve"> </w:t>
      </w:r>
    </w:p>
    <w:p>
      <w:pPr>
        <w:jc w:val="both"/>
        <w:rPr>
          <w:b/>
          <w:bCs/>
          <w:sz w:val="22"/>
          <w:szCs w:val="22"/>
        </w:rPr>
      </w:pPr>
    </w:p>
    <w:p>
      <w:pPr>
        <w:ind w:left="567"/>
        <w:jc w:val="both"/>
        <w:rPr>
          <w:bCs/>
          <w:sz w:val="22"/>
          <w:szCs w:val="22"/>
        </w:rPr>
      </w:pPr>
      <w:r>
        <w:rPr>
          <w:bCs/>
          <w:sz w:val="22"/>
          <w:szCs w:val="22"/>
        </w:rPr>
        <w:t>Sermaye yeterliliği standart oranı, 1 Kasım 2006 tarih ve 26333 sayılı Resmi Gazete’de yayımlanan “Bankaların Sermaye Yeterliliğinin Ölçülmesine ve Değerlendirilmesine İlişkin Yönetmelik” esaslarına göre hesaplanmaktadır.</w:t>
      </w:r>
    </w:p>
    <w:p>
      <w:pPr>
        <w:ind w:left="567"/>
        <w:jc w:val="both"/>
        <w:rPr>
          <w:bCs/>
          <w:sz w:val="22"/>
          <w:szCs w:val="22"/>
        </w:rPr>
      </w:pPr>
    </w:p>
    <w:p>
      <w:pPr>
        <w:ind w:left="567"/>
        <w:jc w:val="both"/>
        <w:rPr>
          <w:bCs/>
          <w:sz w:val="22"/>
          <w:szCs w:val="22"/>
        </w:rPr>
      </w:pPr>
      <w:r>
        <w:rPr>
          <w:bCs/>
          <w:sz w:val="22"/>
          <w:szCs w:val="22"/>
        </w:rPr>
        <w:t>Sermaye yeterliliği standart oranının hesaplanmasında hesap ve kayıt düzenine ilişkin mevzuata uygun olarak düzenlenen veriler kullanılmaktadır. Ayrıca, “Bankaların Sermaye Yeterliliğinin Ölçülmesine ve Değerlendirilmesine İlişkin Yönetmelik” esaslarına göre piyasa riski, kredi riski ve operasyonel risk tutarı hesaplanarak sermaye yeterliliği standart oranı hesaplamalarına dahil edilmiştir.</w:t>
      </w:r>
    </w:p>
    <w:p>
      <w:pPr>
        <w:ind w:left="567"/>
        <w:jc w:val="both"/>
        <w:rPr>
          <w:bCs/>
          <w:sz w:val="22"/>
          <w:szCs w:val="22"/>
        </w:rPr>
      </w:pPr>
    </w:p>
    <w:p>
      <w:pPr>
        <w:ind w:left="567"/>
        <w:jc w:val="both"/>
        <w:rPr>
          <w:bCs/>
          <w:sz w:val="22"/>
          <w:szCs w:val="22"/>
        </w:rPr>
      </w:pPr>
      <w:r>
        <w:rPr>
          <w:bCs/>
          <w:sz w:val="22"/>
          <w:szCs w:val="22"/>
        </w:rPr>
        <w:t>Özkaynak hesabında sermayeden indirilen değer olarak dikkate alınan tutarlar risk ağırlıklı varlıklar, gayrinakdi krediler ve taahhütlerin hesaplanmasına dahil edilmez. Risk ağırlıklı varlıkların hesaplanmasında, tükenme ve değer kaybı ile karşı karşıya olan varlıklar, ilgili amortismanlar ve karşılıklar düşüldükten sonra kalan net tutarlar üzerinden hesaplara alınır.</w:t>
      </w:r>
    </w:p>
    <w:p>
      <w:pPr>
        <w:ind w:left="567"/>
        <w:jc w:val="both"/>
        <w:rPr>
          <w:bCs/>
          <w:sz w:val="22"/>
          <w:szCs w:val="22"/>
        </w:rPr>
      </w:pPr>
    </w:p>
    <w:p>
      <w:pPr>
        <w:ind w:left="567"/>
        <w:jc w:val="both"/>
        <w:rPr>
          <w:bCs/>
          <w:sz w:val="22"/>
          <w:szCs w:val="22"/>
        </w:rPr>
      </w:pPr>
      <w:r>
        <w:rPr>
          <w:bCs/>
          <w:sz w:val="22"/>
          <w:szCs w:val="22"/>
        </w:rPr>
        <w:t>Kredi riskine esas tutarların hesaplanmasında g</w:t>
      </w:r>
      <w:r>
        <w:rPr>
          <w:bCs/>
          <w:sz w:val="22"/>
          <w:szCs w:val="22"/>
        </w:rPr>
        <w:t>ayrinakdi krediler</w:t>
      </w:r>
      <w:r>
        <w:rPr>
          <w:bCs/>
          <w:sz w:val="22"/>
          <w:szCs w:val="22"/>
        </w:rPr>
        <w:t xml:space="preserve"> ve taahhütler </w:t>
      </w:r>
      <w:r>
        <w:rPr>
          <w:bCs/>
          <w:sz w:val="22"/>
          <w:szCs w:val="22"/>
        </w:rPr>
        <w:t xml:space="preserve">ile ilgili işlemlerde, karşı taraftan olan alacaklar, varsa bu işlemler için </w:t>
      </w:r>
      <w:r>
        <w:rPr>
          <w:bCs/>
          <w:iCs/>
          <w:sz w:val="22"/>
          <w:szCs w:val="22"/>
        </w:rPr>
        <w:t>“Bankalarca Kredilerin ve Diğer Alacakların Niteliklerinin Belirlenmesi ve Bunlar İçin Ayrılacak Karşılıklara İlişkin Usul ve Esaslar Hakkında Yönetmelik”</w:t>
      </w:r>
      <w:r>
        <w:rPr>
          <w:bCs/>
          <w:sz w:val="22"/>
          <w:szCs w:val="22"/>
        </w:rPr>
        <w:t xml:space="preserve">e istinaden ayrılan ve </w:t>
      </w:r>
      <w:r>
        <w:rPr>
          <w:bCs/>
          <w:sz w:val="22"/>
          <w:szCs w:val="22"/>
        </w:rPr>
        <w:t>aktif düzenleyici</w:t>
      </w:r>
      <w:r>
        <w:rPr>
          <w:bCs/>
          <w:sz w:val="22"/>
          <w:szCs w:val="22"/>
        </w:rPr>
        <w:t xml:space="preserve"> hesaplar arasında izlenen özel karşılıklar düşüldükten sonraki net tutar üzerinden, “Bankaların Sermaye Yeterliliğinin Ölçülmesine ve Değerlendirilmesine İlişkin Yönetmelik”in 5’inci maddesinin 1 numaralı fıkrasında belirtile</w:t>
      </w:r>
      <w:r>
        <w:rPr>
          <w:bCs/>
          <w:sz w:val="22"/>
          <w:szCs w:val="22"/>
        </w:rPr>
        <w:t xml:space="preserve">n </w:t>
      </w:r>
      <w:r>
        <w:rPr>
          <w:bCs/>
          <w:sz w:val="22"/>
          <w:szCs w:val="22"/>
        </w:rPr>
        <w:t xml:space="preserve">oranlar ile </w:t>
      </w:r>
      <w:r>
        <w:rPr>
          <w:bCs/>
          <w:sz w:val="22"/>
          <w:szCs w:val="22"/>
        </w:rPr>
        <w:t>krediye dönüştürüldükten sonra ilgili risk grubuna dahil edilerek</w:t>
      </w:r>
      <w:r>
        <w:rPr>
          <w:bCs/>
          <w:sz w:val="22"/>
          <w:szCs w:val="22"/>
        </w:rPr>
        <w:t xml:space="preserve"> Sermaye Yeterliliği Analiz Formu’nda belirtilen </w:t>
      </w:r>
      <w:r>
        <w:rPr>
          <w:bCs/>
          <w:sz w:val="22"/>
          <w:szCs w:val="22"/>
        </w:rPr>
        <w:t xml:space="preserve">ilgili </w:t>
      </w:r>
      <w:r>
        <w:rPr>
          <w:bCs/>
          <w:sz w:val="22"/>
          <w:szCs w:val="22"/>
        </w:rPr>
        <w:t xml:space="preserve">risk </w:t>
      </w:r>
      <w:r>
        <w:rPr>
          <w:bCs/>
          <w:sz w:val="22"/>
          <w:szCs w:val="22"/>
        </w:rPr>
        <w:t xml:space="preserve">grubunun </w:t>
      </w:r>
      <w:r>
        <w:rPr>
          <w:bCs/>
          <w:sz w:val="22"/>
          <w:szCs w:val="22"/>
        </w:rPr>
        <w:t>ağırlı</w:t>
      </w:r>
      <w:r>
        <w:rPr>
          <w:bCs/>
          <w:sz w:val="22"/>
          <w:szCs w:val="22"/>
        </w:rPr>
        <w:t>ğının</w:t>
      </w:r>
      <w:r>
        <w:rPr>
          <w:bCs/>
          <w:sz w:val="22"/>
          <w:szCs w:val="22"/>
        </w:rPr>
        <w:t xml:space="preserve"> uygulanması suretiyle </w:t>
      </w:r>
      <w:r>
        <w:rPr>
          <w:bCs/>
          <w:sz w:val="22"/>
          <w:szCs w:val="22"/>
        </w:rPr>
        <w:t>ikinci defa ağırlıklandırılır.</w:t>
      </w:r>
    </w:p>
    <w:p>
      <w:pPr>
        <w:ind w:left="567"/>
        <w:jc w:val="both"/>
        <w:rPr>
          <w:b/>
          <w:bCs/>
          <w:noProof/>
          <w:sz w:val="22"/>
          <w:szCs w:val="22"/>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Kredi türevi sözleşmeleri, kredi riskine esas tutarların hesaplaması ile genel piyasa riski ve spesifik risk</w:t>
      </w: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için sermaye yükümlülüğü hesaplamasında “Kredi Türevlerinin Standart Metoda Göre Sermaye Yeterliliği Standart Oranı Hesaplamasında Dikkate Alınmasına İlişkin Tebliğ"de belirtilen esaslar çerçevesinde dikkate alınarak hesaplamalara dahil edilir.</w:t>
      </w:r>
    </w:p>
    <w:p>
      <w:pPr>
        <w:ind w:left="567"/>
        <w:jc w:val="both"/>
        <w:rPr>
          <w:b/>
          <w:bCs/>
          <w:noProof/>
          <w:sz w:val="22"/>
          <w:szCs w:val="22"/>
        </w:rPr>
      </w:pPr>
    </w:p>
    <w:p>
      <w:pPr>
        <w:pStyle w:val="BodyText"/>
        <w:rPr>
          <w:sz w:val="22"/>
          <w:szCs w:val="22"/>
        </w:rPr>
      </w:pPr>
      <w:r>
        <w:rPr>
          <w:noProof/>
        </w:rPr>
        <w:br w:type="page"/>
      </w:r>
    </w:p>
    <w:p>
      <w:pPr>
        <w:ind w:left="567" w:hanging="567"/>
        <w:jc w:val="both"/>
        <w:rPr>
          <w:b/>
          <w:bCs/>
          <w:sz w:val="22"/>
          <w:szCs w:val="22"/>
        </w:rPr>
      </w:pPr>
    </w:p>
    <w:p>
      <w:pPr>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pStyle w:val="BodyText"/>
        <w:rPr>
          <w:b/>
          <w:bCs/>
          <w:noProof/>
          <w:sz w:val="22"/>
          <w:szCs w:val="22"/>
        </w:rPr>
      </w:pPr>
    </w:p>
    <w:p>
      <w:pPr>
        <w:pStyle w:val="BodyText"/>
        <w:rPr>
          <w:b/>
          <w:bCs/>
          <w:noProof/>
          <w:sz w:val="22"/>
          <w:szCs w:val="22"/>
        </w:rPr>
      </w:pPr>
      <w:r>
        <w:rPr>
          <w:b/>
          <w:bCs/>
          <w:noProof/>
          <w:sz w:val="22"/>
          <w:szCs w:val="22"/>
        </w:rPr>
        <w:tab/>
      </w:r>
      <w:r>
        <w:rPr>
          <w:b/>
          <w:bCs/>
          <w:noProof/>
          <w:sz w:val="22"/>
          <w:szCs w:val="22"/>
        </w:rPr>
        <w:t>Sermaye yeterliliği standart oranına ilişkin bilgiler Bin TL (%):</w:t>
      </w:r>
    </w:p>
    <w:p>
      <w:pPr>
        <w:pStyle w:val="BodyText"/>
        <w:rPr>
          <w:b/>
          <w:noProof/>
          <w:sz w:val="22"/>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82"/>
        <w:gridCol w:w="737"/>
        <w:gridCol w:w="737"/>
        <w:gridCol w:w="823"/>
        <w:gridCol w:w="709"/>
        <w:gridCol w:w="679"/>
        <w:gridCol w:w="737"/>
        <w:gridCol w:w="737"/>
      </w:tblGrid>
      <w:tr>
        <w:trPr>
          <w:trHeight w:val="255"/>
        </w:trPr>
        <w:tc>
          <w:tcPr>
            <w:tcW w:w="4082" w:type="dxa"/>
            <w:vMerge w:val="restart"/>
            <w:shd w:val="clear" w:color="auto" w:fill="FFFFFF"/>
            <w:vAlign w:val="bottom"/>
          </w:tcPr>
          <w:p>
            <w:pPr>
              <w:rPr>
                <w:sz w:val="18"/>
                <w:szCs w:val="18"/>
              </w:rPr>
            </w:pPr>
            <w:r>
              <w:rPr>
                <w:sz w:val="18"/>
                <w:szCs w:val="18"/>
              </w:rPr>
              <w:t> </w:t>
            </w:r>
          </w:p>
          <w:p>
            <w:pPr>
              <w:rPr>
                <w:sz w:val="18"/>
                <w:szCs w:val="18"/>
              </w:rPr>
            </w:pPr>
            <w:r>
              <w:rPr>
                <w:b/>
                <w:bCs/>
                <w:sz w:val="18"/>
                <w:szCs w:val="18"/>
              </w:rPr>
              <w:t>Kredi Riskine Esas Tutar</w:t>
            </w:r>
          </w:p>
        </w:tc>
        <w:tc>
          <w:tcPr>
            <w:tcW w:w="737" w:type="dxa"/>
            <w:shd w:val="clear" w:color="auto" w:fill="FFFFFF"/>
            <w:vAlign w:val="bottom"/>
          </w:tcPr>
          <w:p>
            <w:pPr>
              <w:jc w:val="center"/>
              <w:rPr>
                <w:sz w:val="18"/>
                <w:szCs w:val="18"/>
              </w:rPr>
            </w:pPr>
            <w:r>
              <w:rPr>
                <w:sz w:val="18"/>
                <w:szCs w:val="18"/>
              </w:rPr>
              <w:t>0%</w:t>
            </w:r>
          </w:p>
        </w:tc>
        <w:tc>
          <w:tcPr>
            <w:tcW w:w="737" w:type="dxa"/>
            <w:shd w:val="clear" w:color="auto" w:fill="FFFFFF"/>
            <w:vAlign w:val="bottom"/>
          </w:tcPr>
          <w:p>
            <w:pPr>
              <w:jc w:val="center"/>
              <w:rPr>
                <w:sz w:val="18"/>
                <w:szCs w:val="18"/>
              </w:rPr>
            </w:pPr>
            <w:r>
              <w:rPr>
                <w:sz w:val="18"/>
                <w:szCs w:val="18"/>
              </w:rPr>
              <w:t>10%</w:t>
            </w:r>
          </w:p>
        </w:tc>
        <w:tc>
          <w:tcPr>
            <w:tcW w:w="823" w:type="dxa"/>
            <w:shd w:val="clear" w:color="auto" w:fill="FFFFFF"/>
            <w:vAlign w:val="bottom"/>
          </w:tcPr>
          <w:p>
            <w:pPr>
              <w:jc w:val="center"/>
              <w:rPr>
                <w:sz w:val="18"/>
                <w:szCs w:val="18"/>
              </w:rPr>
            </w:pPr>
            <w:r>
              <w:rPr>
                <w:sz w:val="18"/>
                <w:szCs w:val="18"/>
              </w:rPr>
              <w:t>20%</w:t>
            </w:r>
          </w:p>
        </w:tc>
        <w:tc>
          <w:tcPr>
            <w:tcW w:w="709" w:type="dxa"/>
            <w:shd w:val="clear" w:color="auto" w:fill="FFFFFF"/>
            <w:vAlign w:val="bottom"/>
          </w:tcPr>
          <w:p>
            <w:pPr>
              <w:jc w:val="center"/>
              <w:rPr>
                <w:sz w:val="18"/>
                <w:szCs w:val="18"/>
              </w:rPr>
            </w:pPr>
            <w:r>
              <w:rPr>
                <w:sz w:val="18"/>
                <w:szCs w:val="18"/>
              </w:rPr>
              <w:t>50%</w:t>
            </w:r>
          </w:p>
        </w:tc>
        <w:tc>
          <w:tcPr>
            <w:tcW w:w="679" w:type="dxa"/>
            <w:shd w:val="clear" w:color="auto" w:fill="FFFFFF"/>
            <w:vAlign w:val="bottom"/>
          </w:tcPr>
          <w:p>
            <w:pPr>
              <w:jc w:val="center"/>
              <w:rPr>
                <w:sz w:val="18"/>
                <w:szCs w:val="18"/>
              </w:rPr>
            </w:pPr>
            <w:r>
              <w:rPr>
                <w:sz w:val="18"/>
                <w:szCs w:val="18"/>
              </w:rPr>
              <w:t>100%</w:t>
            </w:r>
          </w:p>
        </w:tc>
        <w:tc>
          <w:tcPr>
            <w:tcW w:w="737" w:type="dxa"/>
            <w:shd w:val="clear" w:color="auto" w:fill="FFFFFF"/>
            <w:vAlign w:val="bottom"/>
          </w:tcPr>
          <w:p>
            <w:pPr>
              <w:jc w:val="center"/>
              <w:rPr>
                <w:sz w:val="18"/>
                <w:szCs w:val="18"/>
              </w:rPr>
            </w:pPr>
            <w:r>
              <w:rPr>
                <w:sz w:val="18"/>
                <w:szCs w:val="18"/>
              </w:rPr>
              <w:t>150%</w:t>
            </w:r>
          </w:p>
        </w:tc>
        <w:tc>
          <w:tcPr>
            <w:tcW w:w="737" w:type="dxa"/>
            <w:shd w:val="clear" w:color="auto" w:fill="FFFFFF"/>
            <w:vAlign w:val="bottom"/>
          </w:tcPr>
          <w:p>
            <w:pPr>
              <w:jc w:val="center"/>
              <w:rPr>
                <w:sz w:val="18"/>
                <w:szCs w:val="18"/>
              </w:rPr>
            </w:pPr>
            <w:r>
              <w:rPr>
                <w:sz w:val="18"/>
                <w:szCs w:val="18"/>
              </w:rPr>
              <w:t>200%</w:t>
            </w:r>
          </w:p>
        </w:tc>
      </w:tr>
      <w:tr>
        <w:trPr>
          <w:trHeight w:val="255"/>
        </w:trPr>
        <w:tc>
          <w:tcPr>
            <w:tcW w:w="4082" w:type="dxa"/>
            <w:vMerge/>
            <w:shd w:val="clear" w:color="auto" w:fill="FFFFFF"/>
            <w:vAlign w:val="bottom"/>
          </w:tcPr>
          <w:p>
            <w:pPr>
              <w:rPr>
                <w:b/>
                <w:bCs/>
                <w:sz w:val="18"/>
                <w:szCs w:val="18"/>
              </w:rPr>
            </w:pPr>
          </w:p>
        </w:tc>
        <w:tc>
          <w:tcPr>
            <w:tcW w:w="737" w:type="dxa"/>
            <w:shd w:val="clear" w:color="auto" w:fill="FFFFFF"/>
            <w:vAlign w:val="bottom"/>
          </w:tcPr>
          <w:p>
            <w:pPr>
              <w:jc w:val="center"/>
              <w:rPr>
                <w:sz w:val="18"/>
                <w:szCs w:val="18"/>
              </w:rPr>
            </w:pPr>
            <w:r>
              <w:rPr>
                <w:sz w:val="18"/>
                <w:szCs w:val="18"/>
              </w:rPr>
              <w:t> </w:t>
            </w:r>
          </w:p>
        </w:tc>
        <w:tc>
          <w:tcPr>
            <w:tcW w:w="737" w:type="dxa"/>
            <w:shd w:val="clear" w:color="auto" w:fill="FFFFFF"/>
            <w:vAlign w:val="bottom"/>
          </w:tcPr>
          <w:p>
            <w:pPr>
              <w:jc w:val="center"/>
              <w:rPr>
                <w:sz w:val="18"/>
                <w:szCs w:val="18"/>
              </w:rPr>
            </w:pPr>
            <w:r>
              <w:rPr>
                <w:sz w:val="18"/>
                <w:szCs w:val="18"/>
              </w:rPr>
              <w:t> </w:t>
            </w:r>
          </w:p>
        </w:tc>
        <w:tc>
          <w:tcPr>
            <w:tcW w:w="823" w:type="dxa"/>
            <w:shd w:val="clear" w:color="auto" w:fill="FFFFFF"/>
            <w:vAlign w:val="bottom"/>
          </w:tcPr>
          <w:p>
            <w:pPr>
              <w:jc w:val="right"/>
              <w:rPr>
                <w:sz w:val="18"/>
                <w:szCs w:val="18"/>
              </w:rPr>
            </w:pPr>
            <w:r>
              <w:rPr>
                <w:sz w:val="18"/>
                <w:szCs w:val="18"/>
              </w:rPr>
              <w:t> </w:t>
            </w:r>
          </w:p>
        </w:tc>
        <w:tc>
          <w:tcPr>
            <w:tcW w:w="709" w:type="dxa"/>
            <w:shd w:val="clear" w:color="auto" w:fill="FFFFFF"/>
            <w:vAlign w:val="bottom"/>
          </w:tcPr>
          <w:p>
            <w:pPr>
              <w:jc w:val="right"/>
              <w:rPr>
                <w:sz w:val="18"/>
                <w:szCs w:val="18"/>
              </w:rPr>
            </w:pPr>
            <w:r>
              <w:rPr>
                <w:sz w:val="18"/>
                <w:szCs w:val="18"/>
              </w:rPr>
              <w:t> </w:t>
            </w:r>
          </w:p>
        </w:tc>
        <w:tc>
          <w:tcPr>
            <w:tcW w:w="679" w:type="dxa"/>
            <w:shd w:val="clear" w:color="auto" w:fill="FFFFFF"/>
            <w:vAlign w:val="bottom"/>
          </w:tcPr>
          <w:p>
            <w:pPr>
              <w:jc w:val="right"/>
              <w:rPr>
                <w:sz w:val="18"/>
                <w:szCs w:val="18"/>
              </w:rPr>
            </w:pPr>
            <w:r>
              <w:rPr>
                <w:sz w:val="18"/>
                <w:szCs w:val="18"/>
              </w:rPr>
              <w:t> </w:t>
            </w:r>
          </w:p>
        </w:tc>
        <w:tc>
          <w:tcPr>
            <w:tcW w:w="737" w:type="dxa"/>
            <w:shd w:val="clear" w:color="auto" w:fill="FFFFFF"/>
            <w:vAlign w:val="bottom"/>
          </w:tcPr>
          <w:p>
            <w:pPr>
              <w:jc w:val="right"/>
              <w:rPr>
                <w:sz w:val="16"/>
                <w:szCs w:val="16"/>
              </w:rPr>
            </w:pPr>
          </w:p>
        </w:tc>
        <w:tc>
          <w:tcPr>
            <w:tcW w:w="737" w:type="dxa"/>
            <w:shd w:val="clear" w:color="auto" w:fill="FFFFFF"/>
            <w:vAlign w:val="bottom"/>
          </w:tcPr>
          <w:p>
            <w:pPr>
              <w:jc w:val="right"/>
              <w:rPr>
                <w:sz w:val="16"/>
                <w:szCs w:val="16"/>
              </w:rPr>
            </w:pPr>
          </w:p>
        </w:tc>
      </w:tr>
      <w:tr>
        <w:trPr>
          <w:trHeight w:val="255"/>
        </w:trPr>
        <w:tc>
          <w:tcPr>
            <w:tcW w:w="4082" w:type="dxa"/>
            <w:shd w:val="clear" w:color="auto" w:fill="FFFFFF"/>
            <w:vAlign w:val="bottom"/>
          </w:tcPr>
          <w:p>
            <w:pPr>
              <w:rPr>
                <w:sz w:val="18"/>
                <w:szCs w:val="18"/>
              </w:rPr>
            </w:pPr>
            <w:r>
              <w:rPr>
                <w:sz w:val="18"/>
                <w:szCs w:val="18"/>
              </w:rPr>
              <w:t>Bilanço Kalemleri (Net)</w:t>
            </w:r>
          </w:p>
        </w:tc>
        <w:tc>
          <w:tcPr>
            <w:tcW w:w="737" w:type="dxa"/>
            <w:shd w:val="clear" w:color="auto" w:fill="FFFFFF"/>
            <w:vAlign w:val="bottom"/>
          </w:tcPr>
          <w:p>
            <w:pPr>
              <w:jc w:val="right"/>
              <w:rPr>
                <w:sz w:val="16"/>
                <w:szCs w:val="16"/>
              </w:rPr>
            </w:pPr>
            <w:r>
              <w:rPr>
                <w:sz w:val="16"/>
                <w:szCs w:val="16"/>
              </w:rPr>
              <w:t>110.1</w:t>
            </w:r>
            <w:r>
              <w:rPr>
                <w:sz w:val="16"/>
                <w:szCs w:val="16"/>
              </w:rPr>
              <w:t>5</w:t>
            </w:r>
            <w:r>
              <w:rPr>
                <w:sz w:val="16"/>
                <w:szCs w:val="16"/>
              </w:rPr>
              <w:t>5</w:t>
            </w:r>
          </w:p>
        </w:tc>
        <w:tc>
          <w:tcPr>
            <w:tcW w:w="737" w:type="dxa"/>
            <w:shd w:val="clear" w:color="auto" w:fill="FFFFFF"/>
            <w:vAlign w:val="bottom"/>
          </w:tcPr>
          <w:p>
            <w:pPr>
              <w:jc w:val="right"/>
              <w:rPr>
                <w:sz w:val="16"/>
                <w:szCs w:val="16"/>
              </w:rPr>
            </w:pPr>
            <w:r>
              <w:rPr>
                <w:sz w:val="16"/>
                <w:szCs w:val="16"/>
              </w:rPr>
              <w:t>-</w:t>
            </w:r>
          </w:p>
        </w:tc>
        <w:tc>
          <w:tcPr>
            <w:tcW w:w="823" w:type="dxa"/>
            <w:shd w:val="clear" w:color="auto" w:fill="FFFFFF"/>
            <w:vAlign w:val="bottom"/>
          </w:tcPr>
          <w:p>
            <w:pPr>
              <w:jc w:val="right"/>
              <w:rPr>
                <w:sz w:val="16"/>
                <w:szCs w:val="16"/>
              </w:rPr>
            </w:pPr>
            <w:r>
              <w:rPr>
                <w:sz w:val="16"/>
                <w:szCs w:val="16"/>
              </w:rPr>
              <w:t>1.257.580</w:t>
            </w:r>
          </w:p>
        </w:tc>
        <w:tc>
          <w:tcPr>
            <w:tcW w:w="709" w:type="dxa"/>
            <w:shd w:val="clear" w:color="auto" w:fill="FFFFFF"/>
            <w:vAlign w:val="bottom"/>
          </w:tcPr>
          <w:p>
            <w:pPr>
              <w:jc w:val="right"/>
              <w:rPr>
                <w:sz w:val="16"/>
                <w:szCs w:val="16"/>
              </w:rPr>
            </w:pPr>
            <w:r>
              <w:rPr>
                <w:sz w:val="16"/>
                <w:szCs w:val="16"/>
              </w:rPr>
              <w:t>249.644</w:t>
            </w:r>
          </w:p>
        </w:tc>
        <w:tc>
          <w:tcPr>
            <w:tcW w:w="679" w:type="dxa"/>
            <w:shd w:val="clear" w:color="auto" w:fill="FFFFFF"/>
            <w:vAlign w:val="bottom"/>
          </w:tcPr>
          <w:p>
            <w:pPr>
              <w:jc w:val="right"/>
              <w:rPr>
                <w:sz w:val="16"/>
                <w:szCs w:val="16"/>
              </w:rPr>
            </w:pPr>
            <w:r>
              <w:rPr>
                <w:sz w:val="16"/>
                <w:szCs w:val="16"/>
              </w:rPr>
              <w:t>174.634</w:t>
            </w:r>
          </w:p>
        </w:tc>
        <w:tc>
          <w:tcPr>
            <w:tcW w:w="737" w:type="dxa"/>
            <w:shd w:val="clear" w:color="auto" w:fill="FFFFFF"/>
            <w:vAlign w:val="bottom"/>
          </w:tcPr>
          <w:p>
            <w:pPr>
              <w:jc w:val="right"/>
              <w:rPr>
                <w:sz w:val="16"/>
                <w:szCs w:val="16"/>
              </w:rPr>
            </w:pPr>
            <w:r>
              <w:rPr>
                <w:sz w:val="16"/>
                <w:szCs w:val="16"/>
              </w:rPr>
              <w:t>628</w:t>
            </w:r>
          </w:p>
        </w:tc>
        <w:tc>
          <w:tcPr>
            <w:tcW w:w="737" w:type="dxa"/>
            <w:shd w:val="clear" w:color="auto" w:fill="FFFFFF"/>
            <w:vAlign w:val="bottom"/>
          </w:tcPr>
          <w:p>
            <w:pPr>
              <w:jc w:val="right"/>
              <w:rPr>
                <w:sz w:val="16"/>
                <w:szCs w:val="16"/>
              </w:rPr>
            </w:pPr>
            <w:r>
              <w:rPr>
                <w:sz w:val="16"/>
                <w:szCs w:val="16"/>
              </w:rPr>
              <w:t>5.449</w:t>
            </w:r>
          </w:p>
        </w:tc>
      </w:tr>
      <w:tr>
        <w:trPr>
          <w:trHeight w:val="255"/>
        </w:trPr>
        <w:tc>
          <w:tcPr>
            <w:tcW w:w="4082" w:type="dxa"/>
            <w:shd w:val="clear" w:color="auto" w:fill="FFFFFF"/>
            <w:vAlign w:val="bottom"/>
          </w:tcPr>
          <w:p>
            <w:pPr>
              <w:ind w:firstLineChars="200" w:firstLine="360"/>
              <w:rPr>
                <w:sz w:val="18"/>
                <w:szCs w:val="18"/>
              </w:rPr>
            </w:pPr>
            <w:r>
              <w:rPr>
                <w:sz w:val="18"/>
                <w:szCs w:val="18"/>
              </w:rPr>
              <w:t>Nakit Değerler</w:t>
            </w:r>
          </w:p>
        </w:tc>
        <w:tc>
          <w:tcPr>
            <w:tcW w:w="737" w:type="dxa"/>
            <w:shd w:val="clear" w:color="auto" w:fill="auto"/>
            <w:vAlign w:val="bottom"/>
          </w:tcPr>
          <w:p>
            <w:pPr>
              <w:jc w:val="right"/>
              <w:rPr>
                <w:sz w:val="16"/>
                <w:szCs w:val="16"/>
              </w:rPr>
            </w:pPr>
            <w:r>
              <w:rPr>
                <w:sz w:val="16"/>
                <w:szCs w:val="16"/>
              </w:rPr>
              <w:t>77</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Vadesi Gelmiş Menkul Değerler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T. C. Merkez Bankası</w:t>
            </w:r>
          </w:p>
        </w:tc>
        <w:tc>
          <w:tcPr>
            <w:tcW w:w="737" w:type="dxa"/>
            <w:shd w:val="clear" w:color="auto" w:fill="auto"/>
            <w:vAlign w:val="bottom"/>
          </w:tcPr>
          <w:p>
            <w:pPr>
              <w:jc w:val="right"/>
              <w:rPr>
                <w:sz w:val="16"/>
                <w:szCs w:val="16"/>
              </w:rPr>
            </w:pPr>
            <w:r>
              <w:rPr>
                <w:sz w:val="16"/>
                <w:szCs w:val="16"/>
              </w:rPr>
              <w:t>15</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Yurtiçi, Yurtdışı Bankalar, Yurtdışı Merkez ve </w:t>
            </w:r>
          </w:p>
          <w:p>
            <w:pPr>
              <w:ind w:firstLineChars="200" w:firstLine="360"/>
              <w:rPr>
                <w:sz w:val="18"/>
                <w:szCs w:val="18"/>
              </w:rPr>
            </w:pPr>
            <w:r>
              <w:rPr>
                <w:sz w:val="18"/>
                <w:szCs w:val="18"/>
              </w:rPr>
              <w:t>Şubeler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163.645</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Para Piyasalarından Alacaklar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Ters Repo İşlemlerinden Alacaklar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Zorunlu Karşılıklar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Krediler</w:t>
            </w:r>
          </w:p>
        </w:tc>
        <w:tc>
          <w:tcPr>
            <w:tcW w:w="737" w:type="dxa"/>
            <w:shd w:val="clear" w:color="auto" w:fill="auto"/>
            <w:vAlign w:val="bottom"/>
          </w:tcPr>
          <w:p>
            <w:pPr>
              <w:jc w:val="right"/>
              <w:rPr>
                <w:sz w:val="16"/>
                <w:szCs w:val="16"/>
              </w:rPr>
            </w:pPr>
            <w:r>
              <w:rPr>
                <w:sz w:val="16"/>
                <w:szCs w:val="16"/>
              </w:rPr>
              <w:t>65.335</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1.063.369</w:t>
            </w:r>
          </w:p>
        </w:tc>
        <w:tc>
          <w:tcPr>
            <w:tcW w:w="709" w:type="dxa"/>
            <w:shd w:val="clear" w:color="auto" w:fill="auto"/>
            <w:vAlign w:val="bottom"/>
          </w:tcPr>
          <w:p>
            <w:pPr>
              <w:jc w:val="right"/>
              <w:rPr>
                <w:sz w:val="16"/>
                <w:szCs w:val="16"/>
              </w:rPr>
            </w:pPr>
            <w:r>
              <w:rPr>
                <w:sz w:val="16"/>
                <w:szCs w:val="16"/>
              </w:rPr>
              <w:t>247.108</w:t>
            </w:r>
          </w:p>
        </w:tc>
        <w:tc>
          <w:tcPr>
            <w:tcW w:w="679" w:type="dxa"/>
            <w:shd w:val="clear" w:color="auto" w:fill="auto"/>
            <w:vAlign w:val="bottom"/>
          </w:tcPr>
          <w:p>
            <w:pPr>
              <w:jc w:val="right"/>
              <w:rPr>
                <w:sz w:val="16"/>
                <w:szCs w:val="16"/>
              </w:rPr>
            </w:pPr>
            <w:r>
              <w:rPr>
                <w:sz w:val="16"/>
                <w:szCs w:val="16"/>
              </w:rPr>
              <w:t>71.955</w:t>
            </w:r>
          </w:p>
        </w:tc>
        <w:tc>
          <w:tcPr>
            <w:tcW w:w="737" w:type="dxa"/>
            <w:shd w:val="clear" w:color="auto" w:fill="auto"/>
            <w:vAlign w:val="bottom"/>
          </w:tcPr>
          <w:p>
            <w:pPr>
              <w:jc w:val="right"/>
              <w:rPr>
                <w:sz w:val="16"/>
                <w:szCs w:val="16"/>
              </w:rPr>
            </w:pPr>
            <w:r>
              <w:rPr>
                <w:sz w:val="16"/>
                <w:szCs w:val="16"/>
              </w:rPr>
              <w:t>628</w:t>
            </w:r>
          </w:p>
        </w:tc>
        <w:tc>
          <w:tcPr>
            <w:tcW w:w="737" w:type="dxa"/>
            <w:shd w:val="clear" w:color="auto" w:fill="auto"/>
            <w:vAlign w:val="bottom"/>
          </w:tcPr>
          <w:p>
            <w:pPr>
              <w:jc w:val="right"/>
              <w:rPr>
                <w:sz w:val="16"/>
                <w:szCs w:val="16"/>
              </w:rPr>
            </w:pPr>
            <w:r>
              <w:rPr>
                <w:sz w:val="16"/>
                <w:szCs w:val="16"/>
              </w:rPr>
              <w:t>5.449</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Tasfiye Olunacak Alacaklar (Net)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31.619</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Kiralama İşlemlerinden Alacaklar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98</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Satılmaya Hazır Finansal Varlıklar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w:t>
            </w: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Vadeye Kadar Elde Tutulan Yatırımlar</w:t>
            </w:r>
          </w:p>
        </w:tc>
        <w:tc>
          <w:tcPr>
            <w:tcW w:w="737" w:type="dxa"/>
            <w:shd w:val="clear" w:color="auto" w:fill="auto"/>
            <w:vAlign w:val="bottom"/>
          </w:tcPr>
          <w:p>
            <w:pPr>
              <w:jc w:val="right"/>
              <w:rPr>
                <w:sz w:val="16"/>
                <w:szCs w:val="16"/>
              </w:rPr>
            </w:pPr>
            <w:r>
              <w:rPr>
                <w:sz w:val="16"/>
                <w:szCs w:val="16"/>
              </w:rPr>
              <w:t>34.616</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21.873</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Aktiflerimizin Vadeli Satışından Alacaklar</w:t>
            </w:r>
          </w:p>
        </w:tc>
        <w:tc>
          <w:tcPr>
            <w:tcW w:w="737" w:type="dxa"/>
            <w:shd w:val="clear" w:color="auto" w:fill="auto"/>
            <w:vAlign w:val="bottom"/>
          </w:tcPr>
          <w:p>
            <w:pPr>
              <w:jc w:val="right"/>
              <w:rPr>
                <w:sz w:val="16"/>
                <w:szCs w:val="16"/>
              </w:rPr>
            </w:pPr>
            <w:r>
              <w:rPr>
                <w:sz w:val="16"/>
                <w:szCs w:val="16"/>
              </w:rPr>
              <w:t>462</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1.076</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Muhtelif Alacaklar</w:t>
            </w:r>
          </w:p>
        </w:tc>
        <w:tc>
          <w:tcPr>
            <w:tcW w:w="737" w:type="dxa"/>
            <w:shd w:val="clear" w:color="auto" w:fill="auto"/>
            <w:vAlign w:val="bottom"/>
          </w:tcPr>
          <w:p>
            <w:pPr>
              <w:jc w:val="right"/>
              <w:rPr>
                <w:sz w:val="16"/>
                <w:szCs w:val="16"/>
              </w:rPr>
            </w:pPr>
            <w:r>
              <w:rPr>
                <w:sz w:val="16"/>
                <w:szCs w:val="16"/>
              </w:rPr>
              <w:t>-</w:t>
            </w: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122</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Faiz ve Gelir Tahakkuk ve Reeskontları</w:t>
            </w:r>
          </w:p>
        </w:tc>
        <w:tc>
          <w:tcPr>
            <w:tcW w:w="737" w:type="dxa"/>
            <w:shd w:val="clear" w:color="auto" w:fill="auto"/>
            <w:vAlign w:val="bottom"/>
          </w:tcPr>
          <w:p>
            <w:pPr>
              <w:jc w:val="right"/>
              <w:rPr>
                <w:sz w:val="16"/>
                <w:szCs w:val="16"/>
              </w:rPr>
            </w:pPr>
            <w:r>
              <w:rPr>
                <w:sz w:val="16"/>
                <w:szCs w:val="16"/>
              </w:rPr>
              <w:t>3.24</w:t>
            </w:r>
            <w:r>
              <w:rPr>
                <w:sz w:val="16"/>
                <w:szCs w:val="16"/>
              </w:rPr>
              <w:t>5</w:t>
            </w:r>
          </w:p>
        </w:tc>
        <w:tc>
          <w:tcPr>
            <w:tcW w:w="737" w:type="dxa"/>
            <w:shd w:val="clear" w:color="auto" w:fill="auto"/>
            <w:vAlign w:val="bottom"/>
          </w:tcPr>
          <w:p>
            <w:pPr>
              <w:jc w:val="right"/>
              <w:rPr>
                <w:sz w:val="16"/>
                <w:szCs w:val="16"/>
              </w:rPr>
            </w:pPr>
            <w:r>
              <w:rPr>
                <w:sz w:val="16"/>
                <w:szCs w:val="16"/>
              </w:rPr>
              <w:t>-</w:t>
            </w:r>
            <w:r>
              <w:rPr>
                <w:sz w:val="16"/>
                <w:szCs w:val="16"/>
              </w:rPr>
              <w:t> </w:t>
            </w:r>
          </w:p>
        </w:tc>
        <w:tc>
          <w:tcPr>
            <w:tcW w:w="823" w:type="dxa"/>
            <w:shd w:val="clear" w:color="auto" w:fill="auto"/>
            <w:vAlign w:val="bottom"/>
          </w:tcPr>
          <w:p>
            <w:pPr>
              <w:jc w:val="right"/>
              <w:rPr>
                <w:sz w:val="16"/>
                <w:szCs w:val="16"/>
              </w:rPr>
            </w:pPr>
            <w:r>
              <w:rPr>
                <w:sz w:val="16"/>
                <w:szCs w:val="16"/>
              </w:rPr>
              <w:t>8.693</w:t>
            </w:r>
          </w:p>
        </w:tc>
        <w:tc>
          <w:tcPr>
            <w:tcW w:w="709" w:type="dxa"/>
            <w:shd w:val="clear" w:color="auto" w:fill="auto"/>
            <w:vAlign w:val="bottom"/>
          </w:tcPr>
          <w:p>
            <w:pPr>
              <w:jc w:val="right"/>
              <w:rPr>
                <w:sz w:val="16"/>
                <w:szCs w:val="16"/>
              </w:rPr>
            </w:pPr>
            <w:r>
              <w:rPr>
                <w:sz w:val="16"/>
                <w:szCs w:val="16"/>
              </w:rPr>
              <w:t>2.536</w:t>
            </w:r>
          </w:p>
        </w:tc>
        <w:tc>
          <w:tcPr>
            <w:tcW w:w="679" w:type="dxa"/>
            <w:shd w:val="clear" w:color="auto" w:fill="auto"/>
            <w:vAlign w:val="bottom"/>
          </w:tcPr>
          <w:p>
            <w:pPr>
              <w:jc w:val="right"/>
              <w:rPr>
                <w:sz w:val="16"/>
                <w:szCs w:val="16"/>
              </w:rPr>
            </w:pPr>
            <w:r>
              <w:rPr>
                <w:sz w:val="16"/>
                <w:szCs w:val="16"/>
              </w:rPr>
              <w:t>1.163</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77"/>
        </w:trPr>
        <w:tc>
          <w:tcPr>
            <w:tcW w:w="4082" w:type="dxa"/>
            <w:shd w:val="clear" w:color="auto" w:fill="FFFFFF"/>
            <w:noWrap/>
            <w:vAlign w:val="bottom"/>
          </w:tcPr>
          <w:p>
            <w:pPr>
              <w:ind w:firstLineChars="200" w:firstLine="360"/>
              <w:rPr>
                <w:sz w:val="18"/>
                <w:szCs w:val="18"/>
              </w:rPr>
            </w:pPr>
            <w:r>
              <w:rPr>
                <w:sz w:val="18"/>
                <w:szCs w:val="18"/>
              </w:rPr>
              <w:t xml:space="preserve">İştirak, Bağlı Ortak. Ve Birlikte Kont. Ed. Ort. </w:t>
            </w:r>
          </w:p>
          <w:p>
            <w:pPr>
              <w:ind w:left="395"/>
              <w:rPr>
                <w:sz w:val="18"/>
                <w:szCs w:val="18"/>
              </w:rPr>
            </w:pPr>
            <w:r>
              <w:rPr>
                <w:sz w:val="18"/>
                <w:szCs w:val="18"/>
              </w:rPr>
              <w:t>(İş Ortaklığı) (Net)</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12.717</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Maddi Duran Varlıklar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43.296</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Diğer Aktifler</w:t>
            </w:r>
          </w:p>
        </w:tc>
        <w:tc>
          <w:tcPr>
            <w:tcW w:w="737" w:type="dxa"/>
            <w:shd w:val="clear" w:color="auto" w:fill="auto"/>
            <w:vAlign w:val="bottom"/>
          </w:tcPr>
          <w:p>
            <w:pPr>
              <w:jc w:val="right"/>
              <w:rPr>
                <w:sz w:val="16"/>
                <w:szCs w:val="16"/>
              </w:rPr>
            </w:pPr>
            <w:r>
              <w:rPr>
                <w:sz w:val="16"/>
                <w:szCs w:val="16"/>
              </w:rPr>
              <w:t>6.40</w:t>
            </w:r>
            <w:r>
              <w:rPr>
                <w:sz w:val="16"/>
                <w:szCs w:val="16"/>
              </w:rPr>
              <w:t>5</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w:t>
            </w:r>
            <w:r>
              <w:rPr>
                <w:sz w:val="16"/>
                <w:szCs w:val="16"/>
              </w:rPr>
              <w:t> </w:t>
            </w:r>
          </w:p>
        </w:tc>
        <w:tc>
          <w:tcPr>
            <w:tcW w:w="709" w:type="dxa"/>
            <w:shd w:val="clear" w:color="auto" w:fill="auto"/>
            <w:vAlign w:val="bottom"/>
          </w:tcPr>
          <w:p>
            <w:pPr>
              <w:jc w:val="right"/>
              <w:rPr>
                <w:sz w:val="16"/>
                <w:szCs w:val="16"/>
              </w:rPr>
            </w:pPr>
            <w:r>
              <w:rPr>
                <w:sz w:val="16"/>
                <w:szCs w:val="16"/>
              </w:rPr>
              <w:t>-</w:t>
            </w:r>
          </w:p>
        </w:tc>
        <w:tc>
          <w:tcPr>
            <w:tcW w:w="679" w:type="dxa"/>
            <w:shd w:val="clear" w:color="auto" w:fill="auto"/>
            <w:vAlign w:val="bottom"/>
          </w:tcPr>
          <w:p>
            <w:pPr>
              <w:jc w:val="right"/>
              <w:rPr>
                <w:sz w:val="16"/>
                <w:szCs w:val="16"/>
              </w:rPr>
            </w:pPr>
            <w:r>
              <w:rPr>
                <w:sz w:val="16"/>
                <w:szCs w:val="16"/>
              </w:rPr>
              <w:t>12.588</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rPr>
                <w:sz w:val="18"/>
                <w:szCs w:val="18"/>
              </w:rPr>
            </w:pPr>
            <w:r>
              <w:rPr>
                <w:sz w:val="18"/>
                <w:szCs w:val="18"/>
              </w:rPr>
              <w:t>Nazım Kalemler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19.885</w:t>
            </w:r>
          </w:p>
        </w:tc>
        <w:tc>
          <w:tcPr>
            <w:tcW w:w="709" w:type="dxa"/>
            <w:shd w:val="clear" w:color="auto" w:fill="auto"/>
            <w:vAlign w:val="bottom"/>
          </w:tcPr>
          <w:p>
            <w:pPr>
              <w:jc w:val="right"/>
              <w:rPr>
                <w:sz w:val="16"/>
                <w:szCs w:val="16"/>
              </w:rPr>
            </w:pPr>
            <w:r>
              <w:rPr>
                <w:sz w:val="16"/>
                <w:szCs w:val="16"/>
              </w:rPr>
              <w:t>5</w:t>
            </w:r>
          </w:p>
        </w:tc>
        <w:tc>
          <w:tcPr>
            <w:tcW w:w="679" w:type="dxa"/>
            <w:shd w:val="clear" w:color="auto" w:fill="auto"/>
            <w:vAlign w:val="bottom"/>
          </w:tcPr>
          <w:p>
            <w:pPr>
              <w:jc w:val="right"/>
              <w:rPr>
                <w:sz w:val="16"/>
                <w:szCs w:val="16"/>
              </w:rPr>
            </w:pPr>
            <w:r>
              <w:rPr>
                <w:sz w:val="16"/>
                <w:szCs w:val="16"/>
              </w:rPr>
              <w:t>21.157</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Gayrinakdi Krediler ve Taahhütler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17.680</w:t>
            </w:r>
          </w:p>
        </w:tc>
        <w:tc>
          <w:tcPr>
            <w:tcW w:w="709" w:type="dxa"/>
            <w:shd w:val="clear" w:color="auto" w:fill="auto"/>
            <w:vAlign w:val="bottom"/>
          </w:tcPr>
          <w:p>
            <w:pPr>
              <w:jc w:val="right"/>
              <w:rPr>
                <w:sz w:val="16"/>
                <w:szCs w:val="16"/>
              </w:rPr>
            </w:pPr>
            <w:r>
              <w:rPr>
                <w:sz w:val="16"/>
                <w:szCs w:val="16"/>
              </w:rPr>
              <w:t>5</w:t>
            </w:r>
          </w:p>
        </w:tc>
        <w:tc>
          <w:tcPr>
            <w:tcW w:w="679" w:type="dxa"/>
            <w:shd w:val="clear" w:color="auto" w:fill="auto"/>
            <w:vAlign w:val="bottom"/>
          </w:tcPr>
          <w:p>
            <w:pPr>
              <w:jc w:val="right"/>
              <w:rPr>
                <w:sz w:val="16"/>
                <w:szCs w:val="16"/>
              </w:rPr>
            </w:pPr>
            <w:r>
              <w:rPr>
                <w:sz w:val="16"/>
                <w:szCs w:val="16"/>
              </w:rPr>
              <w:t>21.157</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Türev Finansal Araçlar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2.205</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rPr>
                <w:sz w:val="18"/>
                <w:szCs w:val="18"/>
              </w:rPr>
            </w:pPr>
            <w:r>
              <w:rPr>
                <w:sz w:val="18"/>
                <w:szCs w:val="18"/>
              </w:rPr>
              <w:t>Risk Ağırlığı Verilmemiş Hesaplar</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 </w:t>
            </w:r>
          </w:p>
        </w:tc>
        <w:tc>
          <w:tcPr>
            <w:tcW w:w="709" w:type="dxa"/>
            <w:shd w:val="clear" w:color="auto" w:fill="auto"/>
            <w:vAlign w:val="bottom"/>
          </w:tcPr>
          <w:p>
            <w:pPr>
              <w:jc w:val="right"/>
              <w:rPr>
                <w:sz w:val="16"/>
                <w:szCs w:val="16"/>
              </w:rPr>
            </w:pPr>
            <w:r>
              <w:rPr>
                <w:sz w:val="16"/>
                <w:szCs w:val="16"/>
              </w:rPr>
              <w:t>- </w:t>
            </w:r>
          </w:p>
        </w:tc>
        <w:tc>
          <w:tcPr>
            <w:tcW w:w="679"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c>
          <w:tcPr>
            <w:tcW w:w="737" w:type="dxa"/>
            <w:shd w:val="clear" w:color="auto" w:fill="auto"/>
            <w:vAlign w:val="bottom"/>
          </w:tcPr>
          <w:p>
            <w:pPr>
              <w:jc w:val="right"/>
              <w:rPr>
                <w:sz w:val="16"/>
                <w:szCs w:val="16"/>
              </w:rPr>
            </w:pPr>
            <w:r>
              <w:rPr>
                <w:sz w:val="16"/>
                <w:szCs w:val="16"/>
              </w:rPr>
              <w:t>- </w:t>
            </w:r>
          </w:p>
        </w:tc>
      </w:tr>
      <w:tr>
        <w:trPr>
          <w:trHeight w:val="255"/>
        </w:trPr>
        <w:tc>
          <w:tcPr>
            <w:tcW w:w="4082" w:type="dxa"/>
            <w:shd w:val="clear" w:color="auto" w:fill="FFFFFF"/>
            <w:vAlign w:val="bottom"/>
          </w:tcPr>
          <w:p>
            <w:pPr>
              <w:rPr>
                <w:sz w:val="18"/>
                <w:szCs w:val="18"/>
              </w:rPr>
            </w:pPr>
            <w:r>
              <w:rPr>
                <w:sz w:val="18"/>
                <w:szCs w:val="18"/>
              </w:rPr>
              <w:t>Toplam Risk Ağırlıklı Varlıklar</w:t>
            </w:r>
          </w:p>
        </w:tc>
        <w:tc>
          <w:tcPr>
            <w:tcW w:w="737" w:type="dxa"/>
            <w:shd w:val="clear" w:color="auto" w:fill="auto"/>
            <w:vAlign w:val="bottom"/>
          </w:tcPr>
          <w:p>
            <w:pPr>
              <w:jc w:val="right"/>
              <w:rPr>
                <w:sz w:val="16"/>
                <w:szCs w:val="16"/>
              </w:rPr>
            </w:pPr>
            <w:r>
              <w:rPr>
                <w:sz w:val="16"/>
                <w:szCs w:val="16"/>
              </w:rPr>
              <w:t>110.15</w:t>
            </w:r>
            <w:r>
              <w:rPr>
                <w:sz w:val="16"/>
                <w:szCs w:val="16"/>
              </w:rPr>
              <w:t>5</w:t>
            </w:r>
          </w:p>
        </w:tc>
        <w:tc>
          <w:tcPr>
            <w:tcW w:w="737" w:type="dxa"/>
            <w:shd w:val="clear" w:color="auto" w:fill="auto"/>
            <w:vAlign w:val="bottom"/>
          </w:tcPr>
          <w:p>
            <w:pPr>
              <w:jc w:val="right"/>
              <w:rPr>
                <w:sz w:val="16"/>
                <w:szCs w:val="16"/>
              </w:rPr>
            </w:pPr>
            <w:r>
              <w:rPr>
                <w:sz w:val="16"/>
                <w:szCs w:val="16"/>
              </w:rPr>
              <w:t>- </w:t>
            </w:r>
          </w:p>
        </w:tc>
        <w:tc>
          <w:tcPr>
            <w:tcW w:w="823" w:type="dxa"/>
            <w:shd w:val="clear" w:color="auto" w:fill="auto"/>
            <w:vAlign w:val="bottom"/>
          </w:tcPr>
          <w:p>
            <w:pPr>
              <w:jc w:val="right"/>
              <w:rPr>
                <w:sz w:val="16"/>
                <w:szCs w:val="16"/>
              </w:rPr>
            </w:pPr>
            <w:r>
              <w:rPr>
                <w:sz w:val="16"/>
                <w:szCs w:val="16"/>
              </w:rPr>
              <w:t>1.277.465</w:t>
            </w:r>
          </w:p>
        </w:tc>
        <w:tc>
          <w:tcPr>
            <w:tcW w:w="709" w:type="dxa"/>
            <w:shd w:val="clear" w:color="auto" w:fill="auto"/>
            <w:vAlign w:val="bottom"/>
          </w:tcPr>
          <w:p>
            <w:pPr>
              <w:jc w:val="right"/>
              <w:rPr>
                <w:sz w:val="16"/>
                <w:szCs w:val="16"/>
              </w:rPr>
            </w:pPr>
            <w:r>
              <w:rPr>
                <w:sz w:val="16"/>
                <w:szCs w:val="16"/>
              </w:rPr>
              <w:t>249.649</w:t>
            </w:r>
          </w:p>
        </w:tc>
        <w:tc>
          <w:tcPr>
            <w:tcW w:w="679" w:type="dxa"/>
            <w:shd w:val="clear" w:color="auto" w:fill="auto"/>
            <w:vAlign w:val="bottom"/>
          </w:tcPr>
          <w:p>
            <w:pPr>
              <w:jc w:val="right"/>
              <w:rPr>
                <w:sz w:val="16"/>
                <w:szCs w:val="16"/>
              </w:rPr>
            </w:pPr>
            <w:r>
              <w:rPr>
                <w:sz w:val="16"/>
                <w:szCs w:val="16"/>
              </w:rPr>
              <w:t>195.791</w:t>
            </w:r>
          </w:p>
        </w:tc>
        <w:tc>
          <w:tcPr>
            <w:tcW w:w="737" w:type="dxa"/>
            <w:shd w:val="clear" w:color="auto" w:fill="auto"/>
            <w:vAlign w:val="bottom"/>
          </w:tcPr>
          <w:p>
            <w:pPr>
              <w:jc w:val="right"/>
              <w:rPr>
                <w:sz w:val="16"/>
                <w:szCs w:val="16"/>
              </w:rPr>
            </w:pPr>
            <w:r>
              <w:rPr>
                <w:sz w:val="16"/>
                <w:szCs w:val="16"/>
              </w:rPr>
              <w:t>628</w:t>
            </w:r>
          </w:p>
        </w:tc>
        <w:tc>
          <w:tcPr>
            <w:tcW w:w="737" w:type="dxa"/>
            <w:shd w:val="clear" w:color="auto" w:fill="auto"/>
            <w:vAlign w:val="bottom"/>
          </w:tcPr>
          <w:p>
            <w:pPr>
              <w:jc w:val="right"/>
              <w:rPr>
                <w:sz w:val="16"/>
                <w:szCs w:val="16"/>
              </w:rPr>
            </w:pPr>
            <w:r>
              <w:rPr>
                <w:sz w:val="16"/>
                <w:szCs w:val="16"/>
              </w:rPr>
              <w:t>5.449</w:t>
            </w:r>
          </w:p>
        </w:tc>
      </w:tr>
    </w:tbl>
    <w:p>
      <w:pPr>
        <w:pStyle w:val="BodyText"/>
        <w:rPr>
          <w:b/>
          <w:bCs/>
          <w:noProof/>
          <w:sz w:val="22"/>
          <w:szCs w:val="22"/>
        </w:rPr>
      </w:pPr>
    </w:p>
    <w:p>
      <w:pPr>
        <w:ind w:firstLine="567"/>
        <w:jc w:val="both"/>
        <w:rPr>
          <w:b/>
          <w:bCs/>
          <w:sz w:val="22"/>
          <w:szCs w:val="22"/>
        </w:rPr>
      </w:pPr>
      <w:r>
        <w:rPr>
          <w:b/>
          <w:bCs/>
          <w:noProof/>
          <w:sz w:val="22"/>
          <w:szCs w:val="22"/>
        </w:rPr>
        <w:t>Sermaye yeterliliği standart oranına ilişkin özet bilgi:</w:t>
      </w:r>
    </w:p>
    <w:p>
      <w:pPr>
        <w:pStyle w:val="BodyText"/>
        <w:rPr>
          <w:b/>
          <w:bCs/>
          <w:noProof/>
          <w:sz w:val="16"/>
          <w:szCs w:val="16"/>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272"/>
        <w:gridCol w:w="1985"/>
        <w:gridCol w:w="1984"/>
      </w:tblGrid>
      <w:tr>
        <w:trPr>
          <w:trHeight w:val="184"/>
        </w:trPr>
        <w:tc>
          <w:tcPr>
            <w:tcW w:w="5272" w:type="dxa"/>
            <w:vMerge w:val="restart"/>
            <w:shd w:val="clear" w:color="000000" w:fill="FFFFFF"/>
            <w:vAlign w:val="bottom"/>
          </w:tcPr>
          <w:p>
            <w:pPr>
              <w:rPr>
                <w:sz w:val="18"/>
                <w:szCs w:val="18"/>
              </w:rPr>
            </w:pPr>
            <w:r>
              <w:rPr>
                <w:sz w:val="18"/>
                <w:szCs w:val="18"/>
              </w:rPr>
              <w:t> </w:t>
            </w:r>
          </w:p>
          <w:p>
            <w:pPr>
              <w:rPr>
                <w:sz w:val="18"/>
                <w:szCs w:val="18"/>
              </w:rPr>
            </w:pPr>
            <w:r>
              <w:rPr>
                <w:sz w:val="18"/>
                <w:szCs w:val="18"/>
              </w:rPr>
              <w:t> </w:t>
            </w:r>
          </w:p>
        </w:tc>
        <w:tc>
          <w:tcPr>
            <w:tcW w:w="3969" w:type="dxa"/>
            <w:gridSpan w:val="2"/>
            <w:shd w:val="clear" w:color="000000" w:fill="FFFFFF"/>
            <w:vAlign w:val="center"/>
          </w:tcPr>
          <w:p>
            <w:pPr>
              <w:jc w:val="center"/>
              <w:rPr>
                <w:b/>
                <w:bCs/>
                <w:sz w:val="18"/>
                <w:szCs w:val="18"/>
              </w:rPr>
            </w:pPr>
            <w:r>
              <w:rPr>
                <w:b/>
                <w:bCs/>
                <w:sz w:val="18"/>
                <w:szCs w:val="18"/>
              </w:rPr>
              <w:t>Banka</w:t>
            </w:r>
          </w:p>
        </w:tc>
      </w:tr>
      <w:tr>
        <w:trPr>
          <w:trHeight w:val="315"/>
        </w:trPr>
        <w:tc>
          <w:tcPr>
            <w:tcW w:w="5272" w:type="dxa"/>
            <w:vMerge/>
            <w:shd w:val="clear" w:color="000000" w:fill="FFFFFF"/>
            <w:vAlign w:val="bottom"/>
          </w:tcPr>
          <w:p>
            <w:pPr>
              <w:rPr>
                <w:sz w:val="18"/>
                <w:szCs w:val="18"/>
              </w:rPr>
            </w:pPr>
          </w:p>
        </w:tc>
        <w:tc>
          <w:tcPr>
            <w:tcW w:w="1985" w:type="dxa"/>
            <w:shd w:val="clear" w:color="000000" w:fill="FFFFFF"/>
            <w:vAlign w:val="bottom"/>
          </w:tcPr>
          <w:p>
            <w:pPr>
              <w:jc w:val="center"/>
              <w:rPr>
                <w:b/>
                <w:bCs/>
                <w:sz w:val="18"/>
                <w:szCs w:val="18"/>
              </w:rPr>
            </w:pPr>
            <w:r>
              <w:rPr>
                <w:b/>
                <w:bCs/>
                <w:sz w:val="18"/>
                <w:szCs w:val="18"/>
              </w:rPr>
              <w:t>Cari Dönem (</w:t>
            </w:r>
            <w:r>
              <w:rPr>
                <w:b/>
                <w:bCs/>
                <w:sz w:val="18"/>
                <w:szCs w:val="18"/>
              </w:rPr>
              <w:t>30.06</w:t>
            </w:r>
            <w:r>
              <w:rPr>
                <w:b/>
                <w:bCs/>
                <w:sz w:val="18"/>
                <w:szCs w:val="18"/>
              </w:rPr>
              <w:t>.201</w:t>
            </w:r>
            <w:r>
              <w:rPr>
                <w:b/>
                <w:bCs/>
                <w:sz w:val="18"/>
                <w:szCs w:val="18"/>
              </w:rPr>
              <w:t>1</w:t>
            </w:r>
            <w:r>
              <w:rPr>
                <w:b/>
                <w:bCs/>
                <w:sz w:val="18"/>
                <w:szCs w:val="18"/>
              </w:rPr>
              <w:t>)</w:t>
            </w:r>
          </w:p>
        </w:tc>
        <w:tc>
          <w:tcPr>
            <w:tcW w:w="1984" w:type="dxa"/>
            <w:shd w:val="clear" w:color="000000" w:fill="FFFFFF"/>
            <w:vAlign w:val="bottom"/>
          </w:tcPr>
          <w:p>
            <w:pPr>
              <w:jc w:val="center"/>
              <w:rPr>
                <w:b/>
                <w:bCs/>
                <w:sz w:val="18"/>
                <w:szCs w:val="18"/>
              </w:rPr>
            </w:pPr>
            <w:r>
              <w:rPr>
                <w:b/>
                <w:bCs/>
                <w:sz w:val="18"/>
                <w:szCs w:val="18"/>
              </w:rPr>
              <w:t>Önceki Dönem (31.12.20</w:t>
            </w:r>
            <w:r>
              <w:rPr>
                <w:b/>
                <w:bCs/>
                <w:sz w:val="18"/>
                <w:szCs w:val="18"/>
              </w:rPr>
              <w:t>10</w:t>
            </w:r>
            <w:r>
              <w:rPr>
                <w:b/>
                <w:bCs/>
                <w:sz w:val="18"/>
                <w:szCs w:val="18"/>
              </w:rPr>
              <w:t>)</w:t>
            </w:r>
          </w:p>
        </w:tc>
      </w:tr>
      <w:tr>
        <w:trPr>
          <w:trHeight w:val="255"/>
        </w:trPr>
        <w:tc>
          <w:tcPr>
            <w:tcW w:w="5272" w:type="dxa"/>
            <w:shd w:val="clear" w:color="000000" w:fill="FFFFFF"/>
            <w:vAlign w:val="bottom"/>
          </w:tcPr>
          <w:p>
            <w:pPr>
              <w:rPr>
                <w:sz w:val="18"/>
                <w:szCs w:val="18"/>
              </w:rPr>
            </w:pPr>
            <w:r>
              <w:rPr>
                <w:sz w:val="18"/>
                <w:szCs w:val="18"/>
              </w:rPr>
              <w:t>Kredi Riskine Esas Tutar (KRET)</w:t>
            </w:r>
          </w:p>
        </w:tc>
        <w:tc>
          <w:tcPr>
            <w:tcW w:w="1985" w:type="dxa"/>
            <w:shd w:val="clear" w:color="000000" w:fill="FFFFFF"/>
            <w:vAlign w:val="bottom"/>
          </w:tcPr>
          <w:p>
            <w:pPr>
              <w:jc w:val="right"/>
              <w:rPr>
                <w:sz w:val="18"/>
                <w:szCs w:val="18"/>
              </w:rPr>
            </w:pPr>
            <w:r>
              <w:rPr>
                <w:sz w:val="18"/>
                <w:szCs w:val="18"/>
              </w:rPr>
              <w:t>587.949</w:t>
            </w:r>
          </w:p>
        </w:tc>
        <w:tc>
          <w:tcPr>
            <w:tcW w:w="1984" w:type="dxa"/>
            <w:shd w:val="clear" w:color="000000" w:fill="FFFFFF"/>
            <w:vAlign w:val="bottom"/>
          </w:tcPr>
          <w:p>
            <w:pPr>
              <w:jc w:val="right"/>
              <w:rPr>
                <w:sz w:val="18"/>
                <w:szCs w:val="18"/>
              </w:rPr>
            </w:pPr>
            <w:r>
              <w:rPr>
                <w:sz w:val="18"/>
                <w:szCs w:val="18"/>
              </w:rPr>
              <w:t>473.897</w:t>
            </w:r>
          </w:p>
        </w:tc>
      </w:tr>
      <w:tr>
        <w:trPr>
          <w:trHeight w:val="255"/>
        </w:trPr>
        <w:tc>
          <w:tcPr>
            <w:tcW w:w="5272" w:type="dxa"/>
            <w:shd w:val="clear" w:color="000000" w:fill="FFFFFF"/>
            <w:vAlign w:val="bottom"/>
          </w:tcPr>
          <w:p>
            <w:pPr>
              <w:rPr>
                <w:sz w:val="18"/>
                <w:szCs w:val="18"/>
              </w:rPr>
            </w:pPr>
            <w:r>
              <w:rPr>
                <w:sz w:val="18"/>
                <w:szCs w:val="18"/>
              </w:rPr>
              <w:t>Piyasa Riskine Esas Tutar (PRET)</w:t>
            </w:r>
          </w:p>
        </w:tc>
        <w:tc>
          <w:tcPr>
            <w:tcW w:w="1985" w:type="dxa"/>
            <w:shd w:val="clear" w:color="000000" w:fill="FFFFFF"/>
            <w:vAlign w:val="bottom"/>
          </w:tcPr>
          <w:p>
            <w:pPr>
              <w:jc w:val="right"/>
              <w:rPr>
                <w:sz w:val="18"/>
                <w:szCs w:val="18"/>
              </w:rPr>
            </w:pPr>
            <w:r>
              <w:rPr>
                <w:sz w:val="18"/>
                <w:szCs w:val="18"/>
              </w:rPr>
              <w:t>92.963</w:t>
            </w:r>
          </w:p>
        </w:tc>
        <w:tc>
          <w:tcPr>
            <w:tcW w:w="1984" w:type="dxa"/>
            <w:shd w:val="clear" w:color="000000" w:fill="FFFFFF"/>
            <w:vAlign w:val="bottom"/>
          </w:tcPr>
          <w:p>
            <w:pPr>
              <w:jc w:val="right"/>
              <w:rPr>
                <w:sz w:val="18"/>
                <w:szCs w:val="18"/>
              </w:rPr>
            </w:pPr>
            <w:r>
              <w:rPr>
                <w:sz w:val="18"/>
                <w:szCs w:val="18"/>
              </w:rPr>
              <w:t>36.125</w:t>
            </w:r>
          </w:p>
        </w:tc>
      </w:tr>
      <w:tr>
        <w:trPr>
          <w:trHeight w:val="255"/>
        </w:trPr>
        <w:tc>
          <w:tcPr>
            <w:tcW w:w="5272" w:type="dxa"/>
            <w:shd w:val="clear" w:color="000000" w:fill="FFFFFF"/>
            <w:vAlign w:val="bottom"/>
          </w:tcPr>
          <w:p>
            <w:pPr>
              <w:rPr>
                <w:sz w:val="18"/>
                <w:szCs w:val="18"/>
              </w:rPr>
            </w:pPr>
            <w:r>
              <w:rPr>
                <w:sz w:val="18"/>
                <w:szCs w:val="18"/>
              </w:rPr>
              <w:t>Operasyonel Riske Esas Tutar (ORET)</w:t>
            </w:r>
          </w:p>
        </w:tc>
        <w:tc>
          <w:tcPr>
            <w:tcW w:w="1985" w:type="dxa"/>
            <w:shd w:val="clear" w:color="000000" w:fill="FFFFFF"/>
            <w:vAlign w:val="bottom"/>
          </w:tcPr>
          <w:p>
            <w:pPr>
              <w:jc w:val="right"/>
              <w:rPr>
                <w:sz w:val="18"/>
                <w:szCs w:val="18"/>
              </w:rPr>
            </w:pPr>
            <w:r>
              <w:rPr>
                <w:sz w:val="18"/>
                <w:szCs w:val="18"/>
              </w:rPr>
              <w:t>162.050</w:t>
            </w:r>
          </w:p>
        </w:tc>
        <w:tc>
          <w:tcPr>
            <w:tcW w:w="1984" w:type="dxa"/>
            <w:shd w:val="clear" w:color="000000" w:fill="FFFFFF"/>
            <w:vAlign w:val="bottom"/>
          </w:tcPr>
          <w:p>
            <w:pPr>
              <w:jc w:val="right"/>
              <w:rPr>
                <w:sz w:val="18"/>
                <w:szCs w:val="18"/>
              </w:rPr>
            </w:pPr>
            <w:r>
              <w:rPr>
                <w:sz w:val="18"/>
                <w:szCs w:val="18"/>
              </w:rPr>
              <w:t>173.647</w:t>
            </w:r>
          </w:p>
        </w:tc>
      </w:tr>
      <w:tr>
        <w:trPr>
          <w:trHeight w:val="255"/>
        </w:trPr>
        <w:tc>
          <w:tcPr>
            <w:tcW w:w="5272" w:type="dxa"/>
            <w:shd w:val="clear" w:color="000000" w:fill="FFFFFF"/>
            <w:vAlign w:val="bottom"/>
          </w:tcPr>
          <w:p>
            <w:pPr>
              <w:rPr>
                <w:sz w:val="18"/>
                <w:szCs w:val="18"/>
              </w:rPr>
            </w:pPr>
            <w:r>
              <w:rPr>
                <w:sz w:val="18"/>
                <w:szCs w:val="18"/>
              </w:rPr>
              <w:t>Özkaynak</w:t>
            </w:r>
          </w:p>
        </w:tc>
        <w:tc>
          <w:tcPr>
            <w:tcW w:w="1985" w:type="dxa"/>
            <w:shd w:val="clear" w:color="000000" w:fill="FFFFFF"/>
            <w:vAlign w:val="bottom"/>
          </w:tcPr>
          <w:p>
            <w:pPr>
              <w:jc w:val="right"/>
              <w:rPr>
                <w:sz w:val="18"/>
                <w:szCs w:val="18"/>
              </w:rPr>
            </w:pPr>
            <w:r>
              <w:rPr>
                <w:sz w:val="18"/>
                <w:szCs w:val="18"/>
              </w:rPr>
              <w:t>520.5</w:t>
            </w:r>
            <w:r>
              <w:rPr>
                <w:sz w:val="18"/>
                <w:szCs w:val="18"/>
              </w:rPr>
              <w:t>54</w:t>
            </w:r>
          </w:p>
        </w:tc>
        <w:tc>
          <w:tcPr>
            <w:tcW w:w="1984" w:type="dxa"/>
            <w:shd w:val="clear" w:color="000000" w:fill="FFFFFF"/>
            <w:vAlign w:val="bottom"/>
          </w:tcPr>
          <w:p>
            <w:pPr>
              <w:jc w:val="right"/>
              <w:rPr>
                <w:sz w:val="18"/>
                <w:szCs w:val="18"/>
              </w:rPr>
            </w:pPr>
            <w:r>
              <w:rPr>
                <w:sz w:val="18"/>
                <w:szCs w:val="18"/>
              </w:rPr>
              <w:t>514.234</w:t>
            </w:r>
          </w:p>
        </w:tc>
      </w:tr>
      <w:tr>
        <w:trPr>
          <w:trHeight w:val="255"/>
        </w:trPr>
        <w:tc>
          <w:tcPr>
            <w:tcW w:w="5272" w:type="dxa"/>
            <w:shd w:val="clear" w:color="000000" w:fill="FFFFFF"/>
            <w:vAlign w:val="bottom"/>
          </w:tcPr>
          <w:p>
            <w:pPr>
              <w:rPr>
                <w:sz w:val="18"/>
                <w:szCs w:val="18"/>
              </w:rPr>
            </w:pPr>
            <w:r>
              <w:rPr>
                <w:sz w:val="18"/>
                <w:szCs w:val="18"/>
              </w:rPr>
              <w:t>Özkaynak / (KRET+PRET+ORET)*100</w:t>
            </w:r>
          </w:p>
        </w:tc>
        <w:tc>
          <w:tcPr>
            <w:tcW w:w="1985" w:type="dxa"/>
            <w:shd w:val="clear" w:color="000000" w:fill="FFFFFF"/>
            <w:vAlign w:val="bottom"/>
          </w:tcPr>
          <w:p>
            <w:pPr>
              <w:jc w:val="right"/>
              <w:rPr>
                <w:sz w:val="18"/>
                <w:szCs w:val="18"/>
              </w:rPr>
            </w:pPr>
            <w:r>
              <w:rPr>
                <w:sz w:val="18"/>
                <w:szCs w:val="18"/>
              </w:rPr>
              <w:t>61,</w:t>
            </w:r>
            <w:r>
              <w:rPr>
                <w:sz w:val="18"/>
                <w:szCs w:val="18"/>
              </w:rPr>
              <w:t>75</w:t>
            </w:r>
          </w:p>
        </w:tc>
        <w:tc>
          <w:tcPr>
            <w:tcW w:w="1984" w:type="dxa"/>
            <w:shd w:val="clear" w:color="000000" w:fill="FFFFFF"/>
            <w:vAlign w:val="bottom"/>
          </w:tcPr>
          <w:p>
            <w:pPr>
              <w:jc w:val="right"/>
              <w:rPr>
                <w:sz w:val="18"/>
                <w:szCs w:val="18"/>
              </w:rPr>
            </w:pPr>
            <w:r>
              <w:rPr>
                <w:sz w:val="18"/>
                <w:szCs w:val="18"/>
              </w:rPr>
              <w:t>75,22</w:t>
            </w:r>
          </w:p>
        </w:tc>
      </w:tr>
    </w:tbl>
    <w:p>
      <w:pPr>
        <w:pStyle w:val="BodyText"/>
        <w:rPr>
          <w:noProof/>
        </w:rPr>
      </w:pPr>
    </w:p>
    <w:p>
      <w:pPr>
        <w:pStyle w:val="BodyText"/>
        <w:rPr>
          <w:noProof/>
        </w:rPr>
      </w:pPr>
    </w:p>
    <w:p>
      <w:pPr>
        <w:pStyle w:val="BodyText"/>
        <w:rPr>
          <w:noProof/>
        </w:rPr>
      </w:pPr>
    </w:p>
    <w:p>
      <w:pPr>
        <w:jc w:val="both"/>
        <w:rPr>
          <w:b/>
          <w:bCs/>
          <w:sz w:val="16"/>
          <w:szCs w:val="16"/>
        </w:rPr>
      </w:pPr>
      <w:r>
        <w:rPr>
          <w:b/>
          <w:bCs/>
          <w:sz w:val="22"/>
          <w:szCs w:val="22"/>
        </w:rPr>
        <w:br w:type="page"/>
      </w:r>
    </w:p>
    <w:p>
      <w:pPr>
        <w:jc w:val="both"/>
        <w:rPr>
          <w:b/>
          <w:bCs/>
          <w:sz w:val="22"/>
          <w:szCs w:val="22"/>
        </w:rPr>
      </w:pPr>
    </w:p>
    <w:p>
      <w:pPr>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rPr>
          <w:b/>
          <w:bCs/>
          <w:noProof/>
          <w:sz w:val="16"/>
          <w:szCs w:val="16"/>
        </w:rPr>
      </w:pPr>
    </w:p>
    <w:p>
      <w:pPr>
        <w:ind w:firstLine="720"/>
        <w:rPr>
          <w:b/>
          <w:bCs/>
          <w:noProof/>
          <w:sz w:val="22"/>
          <w:szCs w:val="22"/>
        </w:rPr>
      </w:pPr>
      <w:r>
        <w:rPr>
          <w:b/>
          <w:bCs/>
          <w:noProof/>
          <w:sz w:val="22"/>
          <w:szCs w:val="22"/>
        </w:rPr>
        <w:t>Özkaynak kalemlerine ilişkin bilgiler:</w:t>
      </w:r>
    </w:p>
    <w:p>
      <w:pPr>
        <w:rPr>
          <w:b/>
          <w:bCs/>
          <w:noProof/>
          <w:sz w:val="16"/>
          <w:szCs w:val="16"/>
        </w:rPr>
      </w:pPr>
    </w:p>
    <w:tbl>
      <w:tblPr>
        <w:tblW w:w="952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690"/>
        <w:gridCol w:w="1417"/>
        <w:gridCol w:w="1417"/>
      </w:tblGrid>
      <w:tr>
        <w:trPr>
          <w:trHeight w:val="378"/>
        </w:trPr>
        <w:tc>
          <w:tcPr>
            <w:tcW w:w="6690" w:type="dxa"/>
            <w:shd w:val="clear" w:color="auto" w:fill="FFFFFF"/>
            <w:vAlign w:val="bottom"/>
          </w:tcPr>
          <w:p>
            <w:pPr>
              <w:rPr>
                <w:sz w:val="16"/>
                <w:szCs w:val="16"/>
              </w:rPr>
            </w:pPr>
          </w:p>
        </w:tc>
        <w:tc>
          <w:tcPr>
            <w:tcW w:w="1417" w:type="dxa"/>
            <w:noWrap/>
            <w:vAlign w:val="bottom"/>
          </w:tcPr>
          <w:p>
            <w:pPr>
              <w:jc w:val="center"/>
              <w:rPr>
                <w:b/>
                <w:bCs/>
                <w:sz w:val="16"/>
                <w:szCs w:val="16"/>
              </w:rPr>
            </w:pPr>
            <w:r>
              <w:rPr>
                <w:b/>
                <w:bCs/>
                <w:sz w:val="16"/>
                <w:szCs w:val="16"/>
              </w:rPr>
              <w:t>Cari Dönem</w:t>
            </w:r>
          </w:p>
          <w:p>
            <w:pPr>
              <w:jc w:val="center"/>
              <w:rPr>
                <w:b/>
                <w:bCs/>
                <w:sz w:val="16"/>
                <w:szCs w:val="16"/>
              </w:rPr>
            </w:pPr>
            <w:r>
              <w:rPr>
                <w:b/>
                <w:bCs/>
                <w:sz w:val="16"/>
                <w:szCs w:val="16"/>
              </w:rPr>
              <w:t>(</w:t>
            </w:r>
            <w:r>
              <w:rPr>
                <w:b/>
                <w:bCs/>
                <w:sz w:val="16"/>
                <w:szCs w:val="16"/>
              </w:rPr>
              <w:t>30.06</w:t>
            </w:r>
            <w:r>
              <w:rPr>
                <w:b/>
                <w:bCs/>
                <w:sz w:val="16"/>
                <w:szCs w:val="16"/>
              </w:rPr>
              <w:t>.201</w:t>
            </w:r>
            <w:r>
              <w:rPr>
                <w:b/>
                <w:bCs/>
                <w:sz w:val="16"/>
                <w:szCs w:val="16"/>
              </w:rPr>
              <w:t>1</w:t>
            </w:r>
            <w:r>
              <w:rPr>
                <w:b/>
                <w:bCs/>
                <w:sz w:val="16"/>
                <w:szCs w:val="16"/>
              </w:rPr>
              <w:t>)</w:t>
            </w:r>
          </w:p>
        </w:tc>
        <w:tc>
          <w:tcPr>
            <w:tcW w:w="1417" w:type="dxa"/>
            <w:shd w:val="clear" w:color="auto" w:fill="FFFFFF"/>
            <w:noWrap/>
            <w:vAlign w:val="bottom"/>
          </w:tcPr>
          <w:p>
            <w:pPr>
              <w:jc w:val="center"/>
              <w:rPr>
                <w:b/>
                <w:bCs/>
                <w:sz w:val="16"/>
                <w:szCs w:val="16"/>
              </w:rPr>
            </w:pPr>
            <w:r>
              <w:rPr>
                <w:b/>
                <w:bCs/>
                <w:sz w:val="16"/>
                <w:szCs w:val="16"/>
              </w:rPr>
              <w:t>Önceki Dönem</w:t>
            </w:r>
          </w:p>
          <w:p>
            <w:pPr>
              <w:jc w:val="center"/>
              <w:rPr>
                <w:b/>
                <w:bCs/>
                <w:sz w:val="16"/>
                <w:szCs w:val="16"/>
              </w:rPr>
            </w:pPr>
            <w:r>
              <w:rPr>
                <w:b/>
                <w:bCs/>
                <w:sz w:val="16"/>
                <w:szCs w:val="16"/>
              </w:rPr>
              <w:t>(31.12.20</w:t>
            </w:r>
            <w:r>
              <w:rPr>
                <w:b/>
                <w:bCs/>
                <w:sz w:val="16"/>
                <w:szCs w:val="16"/>
              </w:rPr>
              <w:t>10</w:t>
            </w:r>
            <w:r>
              <w:rPr>
                <w:b/>
                <w:bCs/>
                <w:sz w:val="16"/>
                <w:szCs w:val="16"/>
              </w:rPr>
              <w:t>)</w:t>
            </w:r>
          </w:p>
        </w:tc>
      </w:tr>
      <w:tr>
        <w:trPr>
          <w:trHeight w:val="170"/>
        </w:trPr>
        <w:tc>
          <w:tcPr>
            <w:tcW w:w="6690" w:type="dxa"/>
            <w:shd w:val="clear" w:color="auto" w:fill="FFFFFF"/>
            <w:vAlign w:val="bottom"/>
          </w:tcPr>
          <w:p>
            <w:pPr>
              <w:rPr>
                <w:b/>
                <w:bCs/>
                <w:sz w:val="16"/>
                <w:szCs w:val="16"/>
              </w:rPr>
            </w:pPr>
            <w:r>
              <w:rPr>
                <w:b/>
                <w:bCs/>
                <w:sz w:val="16"/>
                <w:szCs w:val="16"/>
              </w:rPr>
              <w:t>ANA SERMAYE</w:t>
            </w:r>
          </w:p>
        </w:tc>
        <w:tc>
          <w:tcPr>
            <w:tcW w:w="1417" w:type="dxa"/>
            <w:shd w:val="clear" w:color="auto" w:fill="FFFFFF"/>
            <w:noWrap/>
            <w:vAlign w:val="bottom"/>
          </w:tcPr>
          <w:p>
            <w:pPr>
              <w:rPr>
                <w:sz w:val="16"/>
                <w:szCs w:val="16"/>
              </w:rPr>
            </w:pPr>
            <w:r>
              <w:rPr>
                <w:sz w:val="16"/>
                <w:szCs w:val="16"/>
              </w:rPr>
              <w:t> </w:t>
            </w:r>
          </w:p>
        </w:tc>
        <w:tc>
          <w:tcPr>
            <w:tcW w:w="1417" w:type="dxa"/>
            <w:shd w:val="clear" w:color="auto" w:fill="FFFFFF"/>
            <w:noWrap/>
            <w:vAlign w:val="bottom"/>
          </w:tcPr>
          <w:p>
            <w:pPr>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Ödenmiş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Nominal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Sermaye Taahhütleri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noWrap/>
            <w:vAlign w:val="bottom"/>
          </w:tcPr>
          <w:p>
            <w:pPr>
              <w:rPr>
                <w:sz w:val="16"/>
                <w:szCs w:val="16"/>
              </w:rPr>
            </w:pPr>
            <w:r>
              <w:rPr>
                <w:sz w:val="16"/>
                <w:szCs w:val="16"/>
              </w:rPr>
              <w:t>Ödenmiş Sermaye Enflasyon Düzeltme Farkı</w:t>
            </w:r>
          </w:p>
        </w:tc>
        <w:tc>
          <w:tcPr>
            <w:tcW w:w="1417" w:type="dxa"/>
            <w:shd w:val="clear" w:color="auto" w:fill="FFFFFF"/>
            <w:noWrap/>
            <w:vAlign w:val="bottom"/>
          </w:tcPr>
          <w:p>
            <w:pPr>
              <w:jc w:val="right"/>
              <w:rPr>
                <w:sz w:val="16"/>
                <w:szCs w:val="16"/>
              </w:rPr>
            </w:pPr>
            <w:r>
              <w:rPr>
                <w:sz w:val="16"/>
                <w:szCs w:val="16"/>
              </w:rPr>
              <w:t>206.074</w:t>
            </w:r>
          </w:p>
        </w:tc>
        <w:tc>
          <w:tcPr>
            <w:tcW w:w="1417" w:type="dxa"/>
            <w:shd w:val="clear" w:color="auto" w:fill="FFFFFF"/>
            <w:noWrap/>
            <w:vAlign w:val="bottom"/>
          </w:tcPr>
          <w:p>
            <w:pPr>
              <w:jc w:val="right"/>
              <w:rPr>
                <w:sz w:val="16"/>
                <w:szCs w:val="16"/>
              </w:rPr>
            </w:pPr>
            <w:r>
              <w:rPr>
                <w:sz w:val="16"/>
                <w:szCs w:val="16"/>
              </w:rPr>
              <w:t>206.074</w:t>
            </w:r>
          </w:p>
        </w:tc>
      </w:tr>
      <w:tr>
        <w:trPr>
          <w:trHeight w:val="170"/>
        </w:trPr>
        <w:tc>
          <w:tcPr>
            <w:tcW w:w="6690" w:type="dxa"/>
            <w:shd w:val="clear" w:color="auto" w:fill="FFFFFF"/>
            <w:vAlign w:val="bottom"/>
          </w:tcPr>
          <w:p>
            <w:pPr>
              <w:rPr>
                <w:sz w:val="16"/>
                <w:szCs w:val="16"/>
              </w:rPr>
            </w:pPr>
            <w:r>
              <w:rPr>
                <w:sz w:val="16"/>
                <w:szCs w:val="16"/>
              </w:rPr>
              <w:t>Hisse Senedi İhraç Primleri</w:t>
            </w:r>
          </w:p>
        </w:tc>
        <w:tc>
          <w:tcPr>
            <w:tcW w:w="1417" w:type="dxa"/>
            <w:shd w:val="clear" w:color="auto" w:fill="FFFFFF"/>
            <w:noWrap/>
            <w:vAlign w:val="bottom"/>
          </w:tcPr>
          <w:p>
            <w:pPr>
              <w:jc w:val="right"/>
              <w:rPr>
                <w:sz w:val="16"/>
                <w:szCs w:val="16"/>
              </w:rPr>
            </w:pPr>
            <w:r>
              <w:rPr>
                <w:sz w:val="16"/>
                <w:szCs w:val="16"/>
              </w:rPr>
              <w:t>1.491</w:t>
            </w:r>
          </w:p>
        </w:tc>
        <w:tc>
          <w:tcPr>
            <w:tcW w:w="1417" w:type="dxa"/>
            <w:shd w:val="clear" w:color="auto" w:fill="FFFFFF"/>
            <w:noWrap/>
            <w:vAlign w:val="bottom"/>
          </w:tcPr>
          <w:p>
            <w:pPr>
              <w:jc w:val="right"/>
              <w:rPr>
                <w:sz w:val="16"/>
                <w:szCs w:val="16"/>
              </w:rPr>
            </w:pPr>
            <w:r>
              <w:rPr>
                <w:sz w:val="16"/>
                <w:szCs w:val="16"/>
              </w:rPr>
              <w:t>1.491</w:t>
            </w:r>
          </w:p>
        </w:tc>
      </w:tr>
      <w:tr>
        <w:trPr>
          <w:trHeight w:val="170"/>
        </w:trPr>
        <w:tc>
          <w:tcPr>
            <w:tcW w:w="6690" w:type="dxa"/>
            <w:shd w:val="clear" w:color="auto" w:fill="FFFFFF"/>
            <w:vAlign w:val="bottom"/>
          </w:tcPr>
          <w:p>
            <w:pPr>
              <w:rPr>
                <w:sz w:val="16"/>
                <w:szCs w:val="16"/>
              </w:rPr>
            </w:pPr>
            <w:r>
              <w:rPr>
                <w:sz w:val="16"/>
                <w:szCs w:val="16"/>
              </w:rPr>
              <w:t>Hisse Senedi İptal Karları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Yasal Yedekler</w:t>
            </w:r>
          </w:p>
        </w:tc>
        <w:tc>
          <w:tcPr>
            <w:tcW w:w="1417" w:type="dxa"/>
            <w:shd w:val="clear" w:color="auto" w:fill="FFFFFF"/>
            <w:noWrap/>
            <w:vAlign w:val="bottom"/>
          </w:tcPr>
          <w:p>
            <w:pPr>
              <w:jc w:val="right"/>
              <w:rPr>
                <w:sz w:val="16"/>
                <w:szCs w:val="16"/>
              </w:rPr>
            </w:pPr>
            <w:r>
              <w:rPr>
                <w:sz w:val="16"/>
                <w:szCs w:val="16"/>
              </w:rPr>
              <w:t>28.804</w:t>
            </w:r>
          </w:p>
        </w:tc>
        <w:tc>
          <w:tcPr>
            <w:tcW w:w="1417" w:type="dxa"/>
            <w:shd w:val="clear" w:color="auto" w:fill="FFFFFF"/>
            <w:noWrap/>
            <w:vAlign w:val="bottom"/>
          </w:tcPr>
          <w:p>
            <w:pPr>
              <w:jc w:val="right"/>
              <w:rPr>
                <w:sz w:val="16"/>
                <w:szCs w:val="16"/>
              </w:rPr>
            </w:pPr>
            <w:r>
              <w:rPr>
                <w:sz w:val="16"/>
                <w:szCs w:val="16"/>
              </w:rPr>
              <w:t>27.688</w:t>
            </w:r>
          </w:p>
        </w:tc>
      </w:tr>
      <w:tr>
        <w:trPr>
          <w:trHeight w:val="170"/>
        </w:trPr>
        <w:tc>
          <w:tcPr>
            <w:tcW w:w="6690" w:type="dxa"/>
            <w:shd w:val="clear" w:color="auto" w:fill="FFFFFF"/>
            <w:vAlign w:val="bottom"/>
          </w:tcPr>
          <w:p>
            <w:pPr>
              <w:ind w:left="355"/>
              <w:rPr>
                <w:sz w:val="16"/>
                <w:szCs w:val="16"/>
              </w:rPr>
            </w:pPr>
            <w:r>
              <w:rPr>
                <w:sz w:val="16"/>
                <w:szCs w:val="16"/>
              </w:rPr>
              <w:t>I. Tertip Kanuni Yedek Akçe (TTK 466/1)</w:t>
            </w:r>
          </w:p>
        </w:tc>
        <w:tc>
          <w:tcPr>
            <w:tcW w:w="1417" w:type="dxa"/>
            <w:shd w:val="clear" w:color="auto" w:fill="FFFFFF"/>
            <w:noWrap/>
            <w:vAlign w:val="bottom"/>
          </w:tcPr>
          <w:p>
            <w:pPr>
              <w:jc w:val="right"/>
              <w:rPr>
                <w:sz w:val="16"/>
                <w:szCs w:val="16"/>
              </w:rPr>
            </w:pPr>
            <w:r>
              <w:rPr>
                <w:sz w:val="16"/>
                <w:szCs w:val="16"/>
              </w:rPr>
              <w:t>15.062</w:t>
            </w:r>
          </w:p>
        </w:tc>
        <w:tc>
          <w:tcPr>
            <w:tcW w:w="1417" w:type="dxa"/>
            <w:shd w:val="clear" w:color="auto" w:fill="FFFFFF"/>
            <w:noWrap/>
            <w:vAlign w:val="bottom"/>
          </w:tcPr>
          <w:p>
            <w:pPr>
              <w:jc w:val="right"/>
              <w:rPr>
                <w:sz w:val="16"/>
                <w:szCs w:val="16"/>
              </w:rPr>
            </w:pPr>
            <w:r>
              <w:rPr>
                <w:sz w:val="16"/>
                <w:szCs w:val="16"/>
              </w:rPr>
              <w:t>14.006</w:t>
            </w:r>
          </w:p>
        </w:tc>
      </w:tr>
      <w:tr>
        <w:trPr>
          <w:trHeight w:val="170"/>
        </w:trPr>
        <w:tc>
          <w:tcPr>
            <w:tcW w:w="6690" w:type="dxa"/>
            <w:shd w:val="clear" w:color="auto" w:fill="FFFFFF"/>
            <w:vAlign w:val="bottom"/>
          </w:tcPr>
          <w:p>
            <w:pPr>
              <w:ind w:left="355"/>
              <w:rPr>
                <w:sz w:val="16"/>
                <w:szCs w:val="16"/>
              </w:rPr>
            </w:pPr>
            <w:r>
              <w:rPr>
                <w:sz w:val="16"/>
                <w:szCs w:val="16"/>
              </w:rPr>
              <w:t>II. Tertip Kanuni Yedek Akçe (TTK 466/2)</w:t>
            </w:r>
          </w:p>
        </w:tc>
        <w:tc>
          <w:tcPr>
            <w:tcW w:w="1417" w:type="dxa"/>
            <w:shd w:val="clear" w:color="auto" w:fill="FFFFFF"/>
            <w:noWrap/>
            <w:vAlign w:val="bottom"/>
          </w:tcPr>
          <w:p>
            <w:pPr>
              <w:jc w:val="right"/>
              <w:rPr>
                <w:sz w:val="16"/>
                <w:szCs w:val="16"/>
              </w:rPr>
            </w:pPr>
            <w:r>
              <w:rPr>
                <w:sz w:val="16"/>
                <w:szCs w:val="16"/>
              </w:rPr>
              <w:t>13.742</w:t>
            </w:r>
          </w:p>
        </w:tc>
        <w:tc>
          <w:tcPr>
            <w:tcW w:w="1417" w:type="dxa"/>
            <w:shd w:val="clear" w:color="auto" w:fill="FFFFFF"/>
            <w:noWrap/>
            <w:vAlign w:val="bottom"/>
          </w:tcPr>
          <w:p>
            <w:pPr>
              <w:jc w:val="right"/>
              <w:rPr>
                <w:sz w:val="16"/>
                <w:szCs w:val="16"/>
              </w:rPr>
            </w:pPr>
            <w:r>
              <w:rPr>
                <w:sz w:val="16"/>
                <w:szCs w:val="16"/>
              </w:rPr>
              <w:t>13.682</w:t>
            </w:r>
          </w:p>
        </w:tc>
      </w:tr>
      <w:tr>
        <w:trPr>
          <w:trHeight w:val="170"/>
        </w:trPr>
        <w:tc>
          <w:tcPr>
            <w:tcW w:w="6690" w:type="dxa"/>
            <w:shd w:val="clear" w:color="auto" w:fill="FFFFFF"/>
            <w:vAlign w:val="bottom"/>
          </w:tcPr>
          <w:p>
            <w:pPr>
              <w:ind w:left="355"/>
              <w:rPr>
                <w:sz w:val="16"/>
                <w:szCs w:val="16"/>
              </w:rPr>
            </w:pPr>
            <w:r>
              <w:rPr>
                <w:sz w:val="16"/>
                <w:szCs w:val="16"/>
              </w:rPr>
              <w:t>Özel Kanunlar Gereği Ayrılan Yedek Akçe</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Statü Yedekleri</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Olağanüstü Yedekler</w:t>
            </w:r>
          </w:p>
        </w:tc>
        <w:tc>
          <w:tcPr>
            <w:tcW w:w="1417" w:type="dxa"/>
            <w:shd w:val="clear" w:color="auto" w:fill="FFFFFF"/>
            <w:noWrap/>
            <w:vAlign w:val="bottom"/>
          </w:tcPr>
          <w:p>
            <w:pPr>
              <w:jc w:val="right"/>
              <w:rPr>
                <w:sz w:val="16"/>
                <w:szCs w:val="16"/>
              </w:rPr>
            </w:pPr>
            <w:r>
              <w:rPr>
                <w:sz w:val="16"/>
                <w:szCs w:val="16"/>
              </w:rPr>
              <w:t>109.854</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Genel Kurul Kararı Uyarınca Ayrılan Yedek Akçe</w:t>
            </w:r>
          </w:p>
        </w:tc>
        <w:tc>
          <w:tcPr>
            <w:tcW w:w="1417" w:type="dxa"/>
            <w:shd w:val="clear" w:color="auto" w:fill="FFFFFF"/>
            <w:noWrap/>
            <w:vAlign w:val="bottom"/>
          </w:tcPr>
          <w:p>
            <w:pPr>
              <w:jc w:val="right"/>
              <w:rPr>
                <w:sz w:val="16"/>
                <w:szCs w:val="16"/>
              </w:rPr>
            </w:pPr>
            <w:r>
              <w:rPr>
                <w:sz w:val="16"/>
                <w:szCs w:val="16"/>
              </w:rPr>
              <w:t>109.854</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Dağıtılmamış Karlar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Birikmiş Zararlar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Yabancı Para Sermaye Kur Farkı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Yasal Yedek, Stat.Yed. ve Ol. Yed. E. Göre Düz. F.</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Kar</w:t>
            </w:r>
          </w:p>
        </w:tc>
        <w:tc>
          <w:tcPr>
            <w:tcW w:w="1417" w:type="dxa"/>
            <w:shd w:val="clear" w:color="auto" w:fill="FFFFFF"/>
            <w:noWrap/>
            <w:vAlign w:val="bottom"/>
          </w:tcPr>
          <w:p>
            <w:pPr>
              <w:jc w:val="right"/>
              <w:rPr>
                <w:sz w:val="16"/>
                <w:szCs w:val="16"/>
              </w:rPr>
            </w:pPr>
            <w:r>
              <w:rPr>
                <w:sz w:val="16"/>
                <w:szCs w:val="16"/>
              </w:rPr>
              <w:t>4.754</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Karı</w:t>
            </w:r>
          </w:p>
        </w:tc>
        <w:tc>
          <w:tcPr>
            <w:tcW w:w="1417" w:type="dxa"/>
            <w:shd w:val="clear" w:color="auto" w:fill="FFFFFF"/>
            <w:noWrap/>
            <w:vAlign w:val="bottom"/>
          </w:tcPr>
          <w:p>
            <w:pPr>
              <w:jc w:val="right"/>
              <w:rPr>
                <w:sz w:val="16"/>
                <w:szCs w:val="16"/>
              </w:rPr>
            </w:pPr>
            <w:r>
              <w:rPr>
                <w:sz w:val="16"/>
                <w:szCs w:val="16"/>
              </w:rPr>
              <w:t>4.754</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Karı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Muhtemel Riskler İçin A. Serb. Karşılıkların Ana Sermayenin %25’ine Kadar Olan Kısmı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İştirak ve Bağlı Ortaklık Hisseleri ile Gayrim. Satış Kazançları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Birincil Sermaye Benzeri Borçların Ana Sermayenin %15’ine Kadar Olan Kısmı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Zarar (-) (Yedek Akçelerle Karşılanamayan Kısım)</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Zararı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Zararı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 xml:space="preserve">Özel Maliyet Bedelleri (-) </w:t>
            </w:r>
          </w:p>
        </w:tc>
        <w:tc>
          <w:tcPr>
            <w:tcW w:w="1417" w:type="dxa"/>
            <w:shd w:val="clear" w:color="auto" w:fill="FFFFFF"/>
            <w:noWrap/>
            <w:vAlign w:val="bottom"/>
          </w:tcPr>
          <w:p>
            <w:pPr>
              <w:jc w:val="right"/>
              <w:rPr>
                <w:sz w:val="16"/>
                <w:szCs w:val="16"/>
              </w:rPr>
            </w:pPr>
            <w:r>
              <w:rPr>
                <w:sz w:val="16"/>
                <w:szCs w:val="16"/>
              </w:rPr>
              <w:t>22</w:t>
            </w:r>
          </w:p>
        </w:tc>
        <w:tc>
          <w:tcPr>
            <w:tcW w:w="1417" w:type="dxa"/>
            <w:shd w:val="clear" w:color="auto" w:fill="FFFFFF"/>
            <w:noWrap/>
            <w:vAlign w:val="bottom"/>
          </w:tcPr>
          <w:p>
            <w:pPr>
              <w:jc w:val="right"/>
              <w:rPr>
                <w:sz w:val="16"/>
                <w:szCs w:val="16"/>
              </w:rPr>
            </w:pPr>
            <w:r>
              <w:rPr>
                <w:sz w:val="16"/>
                <w:szCs w:val="16"/>
              </w:rPr>
              <w:t>25</w:t>
            </w:r>
          </w:p>
        </w:tc>
      </w:tr>
      <w:tr>
        <w:trPr>
          <w:trHeight w:val="170"/>
        </w:trPr>
        <w:tc>
          <w:tcPr>
            <w:tcW w:w="6690" w:type="dxa"/>
            <w:shd w:val="clear" w:color="auto" w:fill="FFFFFF"/>
            <w:vAlign w:val="bottom"/>
          </w:tcPr>
          <w:p>
            <w:pPr>
              <w:rPr>
                <w:sz w:val="16"/>
                <w:szCs w:val="16"/>
              </w:rPr>
            </w:pPr>
            <w:r>
              <w:rPr>
                <w:sz w:val="16"/>
                <w:szCs w:val="16"/>
              </w:rPr>
              <w:t xml:space="preserve">Peşin Ödenmiş Giderler (-)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2.734</w:t>
            </w:r>
          </w:p>
        </w:tc>
      </w:tr>
      <w:tr>
        <w:trPr>
          <w:trHeight w:val="170"/>
        </w:trPr>
        <w:tc>
          <w:tcPr>
            <w:tcW w:w="6690" w:type="dxa"/>
            <w:shd w:val="clear" w:color="auto" w:fill="FFFFFF"/>
            <w:vAlign w:val="bottom"/>
          </w:tcPr>
          <w:p>
            <w:pPr>
              <w:rPr>
                <w:sz w:val="16"/>
                <w:szCs w:val="16"/>
              </w:rPr>
            </w:pPr>
            <w:r>
              <w:rPr>
                <w:sz w:val="16"/>
                <w:szCs w:val="16"/>
              </w:rPr>
              <w:t xml:space="preserve">Maddi Olmayan Duran Varlıklar (-) </w:t>
            </w:r>
          </w:p>
        </w:tc>
        <w:tc>
          <w:tcPr>
            <w:tcW w:w="1417" w:type="dxa"/>
            <w:shd w:val="clear" w:color="auto" w:fill="FFFFFF"/>
            <w:noWrap/>
            <w:vAlign w:val="bottom"/>
          </w:tcPr>
          <w:p>
            <w:pPr>
              <w:jc w:val="right"/>
              <w:rPr>
                <w:sz w:val="16"/>
                <w:szCs w:val="16"/>
              </w:rPr>
            </w:pPr>
            <w:r>
              <w:rPr>
                <w:sz w:val="16"/>
                <w:szCs w:val="16"/>
              </w:rPr>
              <w:t>1.047</w:t>
            </w:r>
          </w:p>
        </w:tc>
        <w:tc>
          <w:tcPr>
            <w:tcW w:w="1417" w:type="dxa"/>
            <w:shd w:val="clear" w:color="auto" w:fill="FFFFFF"/>
            <w:noWrap/>
            <w:vAlign w:val="bottom"/>
          </w:tcPr>
          <w:p>
            <w:pPr>
              <w:jc w:val="right"/>
              <w:rPr>
                <w:sz w:val="16"/>
                <w:szCs w:val="16"/>
              </w:rPr>
            </w:pPr>
            <w:r>
              <w:rPr>
                <w:sz w:val="16"/>
                <w:szCs w:val="16"/>
              </w:rPr>
              <w:t>262</w:t>
            </w:r>
          </w:p>
        </w:tc>
      </w:tr>
      <w:tr>
        <w:trPr>
          <w:trHeight w:val="170"/>
        </w:trPr>
        <w:tc>
          <w:tcPr>
            <w:tcW w:w="6690" w:type="dxa"/>
            <w:shd w:val="clear" w:color="auto" w:fill="FFFFFF"/>
            <w:vAlign w:val="bottom"/>
          </w:tcPr>
          <w:p>
            <w:pPr>
              <w:rPr>
                <w:sz w:val="16"/>
                <w:szCs w:val="16"/>
              </w:rPr>
            </w:pPr>
            <w:r>
              <w:rPr>
                <w:sz w:val="16"/>
                <w:szCs w:val="16"/>
              </w:rPr>
              <w:t>Ana Sermayenin %10’unu Aşan Ertelenmiş Vergi Varlığı Tutarı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Kanunun 56’ncı Mad. Üçüncü Fıkrasındaki Aşım Tutarı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Ana Sermaye Toplamı</w:t>
            </w:r>
          </w:p>
        </w:tc>
        <w:tc>
          <w:tcPr>
            <w:tcW w:w="1417" w:type="dxa"/>
            <w:shd w:val="clear" w:color="auto" w:fill="FFFFFF"/>
            <w:noWrap/>
            <w:vAlign w:val="bottom"/>
          </w:tcPr>
          <w:p>
            <w:pPr>
              <w:jc w:val="right"/>
              <w:rPr>
                <w:b/>
                <w:bCs/>
                <w:sz w:val="16"/>
                <w:szCs w:val="16"/>
              </w:rPr>
            </w:pPr>
            <w:r>
              <w:rPr>
                <w:b/>
                <w:bCs/>
                <w:sz w:val="16"/>
                <w:szCs w:val="16"/>
              </w:rPr>
              <w:t>509.908</w:t>
            </w:r>
          </w:p>
        </w:tc>
        <w:tc>
          <w:tcPr>
            <w:tcW w:w="1417" w:type="dxa"/>
            <w:shd w:val="clear" w:color="auto" w:fill="FFFFFF"/>
            <w:noWrap/>
            <w:vAlign w:val="bottom"/>
          </w:tcPr>
          <w:p>
            <w:pPr>
              <w:jc w:val="right"/>
              <w:rPr>
                <w:b/>
                <w:bCs/>
                <w:sz w:val="16"/>
                <w:szCs w:val="16"/>
              </w:rPr>
            </w:pPr>
            <w:r>
              <w:rPr>
                <w:b/>
                <w:bCs/>
                <w:sz w:val="16"/>
                <w:szCs w:val="16"/>
              </w:rPr>
              <w:t>508.030</w:t>
            </w:r>
          </w:p>
        </w:tc>
      </w:tr>
      <w:tr>
        <w:trPr>
          <w:trHeight w:val="170"/>
        </w:trPr>
        <w:tc>
          <w:tcPr>
            <w:tcW w:w="6690" w:type="dxa"/>
            <w:shd w:val="clear" w:color="auto" w:fill="FFFFFF"/>
            <w:vAlign w:val="bottom"/>
          </w:tcPr>
          <w:p>
            <w:pPr>
              <w:rPr>
                <w:b/>
                <w:bCs/>
                <w:sz w:val="16"/>
                <w:szCs w:val="16"/>
              </w:rPr>
            </w:pPr>
            <w:r>
              <w:rPr>
                <w:b/>
                <w:bCs/>
                <w:sz w:val="16"/>
                <w:szCs w:val="16"/>
              </w:rPr>
              <w:t>KATKI SERMAYE</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Genel Karşılıklar</w:t>
            </w:r>
          </w:p>
        </w:tc>
        <w:tc>
          <w:tcPr>
            <w:tcW w:w="1417" w:type="dxa"/>
            <w:shd w:val="clear" w:color="auto" w:fill="FFFFFF"/>
            <w:noWrap/>
            <w:vAlign w:val="bottom"/>
          </w:tcPr>
          <w:p>
            <w:pPr>
              <w:jc w:val="right"/>
              <w:rPr>
                <w:sz w:val="16"/>
                <w:szCs w:val="16"/>
              </w:rPr>
            </w:pPr>
            <w:r>
              <w:rPr>
                <w:sz w:val="16"/>
                <w:szCs w:val="16"/>
              </w:rPr>
              <w:t>10.5</w:t>
            </w:r>
            <w:r>
              <w:rPr>
                <w:sz w:val="16"/>
                <w:szCs w:val="16"/>
              </w:rPr>
              <w:t>37</w:t>
            </w:r>
          </w:p>
        </w:tc>
        <w:tc>
          <w:tcPr>
            <w:tcW w:w="1417" w:type="dxa"/>
            <w:shd w:val="clear" w:color="auto" w:fill="FFFFFF"/>
            <w:noWrap/>
            <w:vAlign w:val="bottom"/>
          </w:tcPr>
          <w:p>
            <w:pPr>
              <w:jc w:val="right"/>
              <w:rPr>
                <w:sz w:val="16"/>
                <w:szCs w:val="16"/>
              </w:rPr>
            </w:pPr>
            <w:r>
              <w:rPr>
                <w:sz w:val="16"/>
                <w:szCs w:val="16"/>
              </w:rPr>
              <w:t>5.704</w:t>
            </w:r>
          </w:p>
        </w:tc>
      </w:tr>
      <w:tr>
        <w:trPr>
          <w:trHeight w:val="170"/>
        </w:trPr>
        <w:tc>
          <w:tcPr>
            <w:tcW w:w="6690" w:type="dxa"/>
            <w:shd w:val="clear" w:color="auto" w:fill="FFFFFF"/>
            <w:vAlign w:val="bottom"/>
          </w:tcPr>
          <w:p>
            <w:pPr>
              <w:rPr>
                <w:sz w:val="16"/>
                <w:szCs w:val="16"/>
              </w:rPr>
            </w:pPr>
            <w:r>
              <w:rPr>
                <w:sz w:val="16"/>
                <w:szCs w:val="16"/>
              </w:rPr>
              <w:t xml:space="preserve">Menkuller Yeniden Değerleme Değer Artışı Tutarının %45’i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Gayrimenkuller Yeniden Değ. Değer Artışı Tutarının %45’i</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İştirakler, Bağlı Ortaklıklar Ve Birlikte Kontrol Edilen Ortaklıklar (iş ortaklıkları) Bedelsiz Hisseleri</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Birincil Sermaye Benzeri Borçların Ana Sermaye Hesaplamasında Dikkate Alınmayan Kısmı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İkincil Sermaye Benzeri Borçlar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Menkul Değerler Değer Artış Fonu Tutarının %45’i</w:t>
            </w:r>
          </w:p>
        </w:tc>
        <w:tc>
          <w:tcPr>
            <w:tcW w:w="1417" w:type="dxa"/>
            <w:shd w:val="clear" w:color="auto" w:fill="FFFFFF"/>
            <w:noWrap/>
            <w:vAlign w:val="bottom"/>
          </w:tcPr>
          <w:p>
            <w:pPr>
              <w:jc w:val="right"/>
              <w:rPr>
                <w:sz w:val="16"/>
                <w:szCs w:val="16"/>
              </w:rPr>
            </w:pPr>
            <w:r>
              <w:rPr>
                <w:sz w:val="16"/>
                <w:szCs w:val="16"/>
              </w:rPr>
              <w:t>702</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ind w:firstLineChars="200" w:firstLine="320"/>
              <w:rPr>
                <w:sz w:val="16"/>
                <w:szCs w:val="16"/>
              </w:rPr>
            </w:pPr>
            <w:r>
              <w:rPr>
                <w:sz w:val="16"/>
                <w:szCs w:val="16"/>
              </w:rPr>
              <w:t>İştirakler ve Bağlı Ortaklıklardan</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Satılmaya Hazır Finansal Varlıklardan</w:t>
            </w:r>
          </w:p>
        </w:tc>
        <w:tc>
          <w:tcPr>
            <w:tcW w:w="1417" w:type="dxa"/>
            <w:shd w:val="clear" w:color="auto" w:fill="FFFFFF"/>
            <w:noWrap/>
            <w:vAlign w:val="bottom"/>
          </w:tcPr>
          <w:p>
            <w:pPr>
              <w:jc w:val="right"/>
              <w:rPr>
                <w:sz w:val="16"/>
                <w:szCs w:val="16"/>
              </w:rPr>
            </w:pPr>
            <w:r>
              <w:rPr>
                <w:sz w:val="16"/>
                <w:szCs w:val="16"/>
              </w:rPr>
              <w:t>702</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rPr>
                <w:sz w:val="16"/>
                <w:szCs w:val="16"/>
              </w:rPr>
            </w:pPr>
            <w:r>
              <w:rPr>
                <w:sz w:val="16"/>
                <w:szCs w:val="16"/>
              </w:rPr>
              <w:t>Sermaye Yedeklerinin, Kar Yedeklerinin ve Geçmiş Yıllar K/Z'ının Enflasyona Göre Düzeltme Farkları (Yasal Yedek, Statü Yedekleri ve Olağanüstü Yedeklerin Enflasyona Göre Düzeltme Farkı Hariç)</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Katkı Sermaye Toplamı</w:t>
            </w:r>
          </w:p>
        </w:tc>
        <w:tc>
          <w:tcPr>
            <w:tcW w:w="1417" w:type="dxa"/>
            <w:shd w:val="clear" w:color="auto" w:fill="FFFFFF"/>
            <w:noWrap/>
            <w:vAlign w:val="bottom"/>
          </w:tcPr>
          <w:p>
            <w:pPr>
              <w:jc w:val="right"/>
              <w:rPr>
                <w:b/>
                <w:bCs/>
                <w:sz w:val="16"/>
                <w:szCs w:val="16"/>
              </w:rPr>
            </w:pPr>
            <w:r>
              <w:rPr>
                <w:b/>
                <w:bCs/>
                <w:sz w:val="16"/>
                <w:szCs w:val="16"/>
              </w:rPr>
              <w:t>11.239</w:t>
            </w:r>
          </w:p>
        </w:tc>
        <w:tc>
          <w:tcPr>
            <w:tcW w:w="1417" w:type="dxa"/>
            <w:shd w:val="clear" w:color="auto" w:fill="FFFFFF"/>
            <w:noWrap/>
            <w:vAlign w:val="bottom"/>
          </w:tcPr>
          <w:p>
            <w:pPr>
              <w:jc w:val="right"/>
              <w:rPr>
                <w:b/>
                <w:bCs/>
                <w:sz w:val="16"/>
                <w:szCs w:val="16"/>
              </w:rPr>
            </w:pPr>
            <w:r>
              <w:rPr>
                <w:b/>
                <w:bCs/>
                <w:sz w:val="16"/>
                <w:szCs w:val="16"/>
              </w:rPr>
              <w:t>6.891</w:t>
            </w:r>
          </w:p>
        </w:tc>
      </w:tr>
      <w:tr>
        <w:trPr>
          <w:trHeight w:val="170"/>
        </w:trPr>
        <w:tc>
          <w:tcPr>
            <w:tcW w:w="6690" w:type="dxa"/>
            <w:shd w:val="clear" w:color="auto" w:fill="FFFFFF"/>
            <w:vAlign w:val="bottom"/>
          </w:tcPr>
          <w:p>
            <w:pPr>
              <w:rPr>
                <w:b/>
                <w:bCs/>
                <w:sz w:val="16"/>
                <w:szCs w:val="16"/>
              </w:rPr>
            </w:pPr>
            <w:r>
              <w:rPr>
                <w:b/>
                <w:bCs/>
                <w:sz w:val="16"/>
                <w:szCs w:val="16"/>
              </w:rPr>
              <w:t>ÜÇÜNCÜ KUŞAK SERMAYE</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 xml:space="preserve">SERMAYE </w:t>
            </w:r>
          </w:p>
        </w:tc>
        <w:tc>
          <w:tcPr>
            <w:tcW w:w="1417" w:type="dxa"/>
            <w:shd w:val="clear" w:color="auto" w:fill="FFFFFF"/>
            <w:noWrap/>
            <w:vAlign w:val="bottom"/>
          </w:tcPr>
          <w:p>
            <w:pPr>
              <w:jc w:val="right"/>
              <w:rPr>
                <w:b/>
                <w:sz w:val="16"/>
                <w:szCs w:val="16"/>
              </w:rPr>
            </w:pPr>
            <w:r>
              <w:rPr>
                <w:b/>
                <w:sz w:val="16"/>
                <w:szCs w:val="16"/>
              </w:rPr>
              <w:t>521.1</w:t>
            </w:r>
            <w:r>
              <w:rPr>
                <w:b/>
                <w:sz w:val="16"/>
                <w:szCs w:val="16"/>
              </w:rPr>
              <w:t>47</w:t>
            </w:r>
          </w:p>
        </w:tc>
        <w:tc>
          <w:tcPr>
            <w:tcW w:w="1417" w:type="dxa"/>
            <w:shd w:val="clear" w:color="auto" w:fill="FFFFFF"/>
            <w:noWrap/>
            <w:vAlign w:val="bottom"/>
          </w:tcPr>
          <w:p>
            <w:pPr>
              <w:jc w:val="right"/>
              <w:rPr>
                <w:b/>
                <w:sz w:val="16"/>
                <w:szCs w:val="16"/>
              </w:rPr>
            </w:pPr>
            <w:r>
              <w:rPr>
                <w:b/>
                <w:sz w:val="16"/>
                <w:szCs w:val="16"/>
              </w:rPr>
              <w:t>514.921</w:t>
            </w:r>
          </w:p>
        </w:tc>
      </w:tr>
      <w:tr>
        <w:trPr>
          <w:trHeight w:val="170"/>
        </w:trPr>
        <w:tc>
          <w:tcPr>
            <w:tcW w:w="6690" w:type="dxa"/>
            <w:shd w:val="clear" w:color="auto" w:fill="FFFFFF"/>
            <w:vAlign w:val="bottom"/>
          </w:tcPr>
          <w:p>
            <w:pPr>
              <w:rPr>
                <w:b/>
                <w:bCs/>
                <w:sz w:val="16"/>
                <w:szCs w:val="16"/>
              </w:rPr>
            </w:pPr>
            <w:r>
              <w:rPr>
                <w:b/>
                <w:bCs/>
                <w:sz w:val="16"/>
                <w:szCs w:val="16"/>
              </w:rPr>
              <w:t>SERMAYEDEN İNDİRİLEN DEĞERLER</w:t>
            </w:r>
          </w:p>
        </w:tc>
        <w:tc>
          <w:tcPr>
            <w:tcW w:w="1417" w:type="dxa"/>
            <w:shd w:val="clear" w:color="auto" w:fill="FFFFFF"/>
            <w:noWrap/>
            <w:vAlign w:val="bottom"/>
          </w:tcPr>
          <w:p>
            <w:pPr>
              <w:jc w:val="right"/>
              <w:rPr>
                <w:b/>
                <w:sz w:val="16"/>
                <w:szCs w:val="16"/>
              </w:rPr>
            </w:pPr>
            <w:r>
              <w:rPr>
                <w:b/>
                <w:sz w:val="16"/>
                <w:szCs w:val="16"/>
              </w:rPr>
              <w:t>593</w:t>
            </w:r>
          </w:p>
        </w:tc>
        <w:tc>
          <w:tcPr>
            <w:tcW w:w="1417" w:type="dxa"/>
            <w:shd w:val="clear" w:color="auto" w:fill="FFFFFF"/>
            <w:noWrap/>
            <w:vAlign w:val="bottom"/>
          </w:tcPr>
          <w:p>
            <w:pPr>
              <w:jc w:val="right"/>
              <w:rPr>
                <w:b/>
                <w:sz w:val="16"/>
                <w:szCs w:val="16"/>
              </w:rPr>
            </w:pPr>
            <w:r>
              <w:rPr>
                <w:b/>
                <w:sz w:val="16"/>
                <w:szCs w:val="16"/>
              </w:rPr>
              <w:t>687</w:t>
            </w:r>
          </w:p>
        </w:tc>
      </w:tr>
      <w:tr>
        <w:trPr>
          <w:trHeight w:val="170"/>
        </w:trPr>
        <w:tc>
          <w:tcPr>
            <w:tcW w:w="6690" w:type="dxa"/>
            <w:shd w:val="clear" w:color="auto" w:fill="FFFFFF"/>
            <w:vAlign w:val="bottom"/>
          </w:tcPr>
          <w:p>
            <w:pPr>
              <w:rPr>
                <w:sz w:val="16"/>
                <w:szCs w:val="16"/>
              </w:rPr>
            </w:pPr>
            <w:r>
              <w:rPr>
                <w:sz w:val="16"/>
                <w:szCs w:val="16"/>
              </w:rPr>
              <w:t xml:space="preserve">Sermayesinin Yüzde On ve Daha Fazlasına Sahip Olunan Bankalar ile Finansal Kuruluşlardan (Yurt İçi, Yurt Dışı) Konsolide Edilmeyenlerdeki Ortaklık Payları </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Sermayesinin Yüzde Onundan Azına Sahip Olunan Bankalar ile Finansal Kuruluşlardaki (Yurt İçi, Yurt Dışı) Bankanın Ana Sermaye ve Katkı Sermaye Toplamının Yüzde On ve Daha Fazlasını Aşan Tutardaki Ortaklık Payları Toplamı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Kanunun 50 ve 51’inci Maddeleri Hükümlerine Aykırı Olarak Kullandırılan Krediler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Bankaların, Gayrimenkullerinin Net Defter Değerleri Toplamının Özkaynaklarının Yüzde Ellisini Aşan Kısmı İle Alacaklarından Dolayı Edinmek Zorunda Kaldıkları Ve Kanunun 57 nci Maddesi Uyarınca Elden Çıkarılması Gereken Emtia Ve Gayrimenkullerden Edinim Tarihinden İtibaren Beş Yıl Geçmesine Rağmen Elden Çıkarılamayanların Net Defter Değerleri</w:t>
            </w:r>
          </w:p>
        </w:tc>
        <w:tc>
          <w:tcPr>
            <w:tcW w:w="1417" w:type="dxa"/>
            <w:shd w:val="clear" w:color="auto" w:fill="FFFFFF"/>
            <w:noWrap/>
            <w:vAlign w:val="bottom"/>
          </w:tcPr>
          <w:p>
            <w:pPr>
              <w:jc w:val="right"/>
              <w:rPr>
                <w:sz w:val="16"/>
                <w:szCs w:val="16"/>
              </w:rPr>
            </w:pPr>
            <w:r>
              <w:rPr>
                <w:sz w:val="16"/>
                <w:szCs w:val="16"/>
              </w:rPr>
              <w:t>593</w:t>
            </w:r>
          </w:p>
        </w:tc>
        <w:tc>
          <w:tcPr>
            <w:tcW w:w="1417" w:type="dxa"/>
            <w:shd w:val="clear" w:color="auto" w:fill="FFFFFF"/>
            <w:noWrap/>
            <w:vAlign w:val="bottom"/>
          </w:tcPr>
          <w:p>
            <w:pPr>
              <w:jc w:val="right"/>
              <w:rPr>
                <w:sz w:val="16"/>
                <w:szCs w:val="16"/>
              </w:rPr>
            </w:pPr>
            <w:r>
              <w:rPr>
                <w:sz w:val="16"/>
                <w:szCs w:val="16"/>
              </w:rPr>
              <w:t>687</w:t>
            </w:r>
          </w:p>
        </w:tc>
      </w:tr>
      <w:tr>
        <w:trPr>
          <w:trHeight w:val="170"/>
        </w:trPr>
        <w:tc>
          <w:tcPr>
            <w:tcW w:w="6690" w:type="dxa"/>
            <w:shd w:val="clear" w:color="auto" w:fill="FFFFFF"/>
            <w:vAlign w:val="bottom"/>
          </w:tcPr>
          <w:p>
            <w:pPr>
              <w:rPr>
                <w:sz w:val="16"/>
                <w:szCs w:val="16"/>
              </w:rPr>
            </w:pPr>
            <w:r>
              <w:rPr>
                <w:sz w:val="16"/>
                <w:szCs w:val="16"/>
              </w:rPr>
              <w:t>Diğer</w:t>
            </w:r>
          </w:p>
        </w:tc>
        <w:tc>
          <w:tcPr>
            <w:tcW w:w="1417" w:type="dxa"/>
            <w:shd w:val="clear" w:color="auto" w:fill="FFFFFF"/>
            <w:noWrap/>
            <w:vAlign w:val="bottom"/>
          </w:tcPr>
          <w:p>
            <w:pPr>
              <w:jc w:val="right"/>
              <w:rPr>
                <w:sz w:val="16"/>
                <w:szCs w:val="16"/>
              </w:rPr>
            </w:pPr>
            <w:r>
              <w:rPr>
                <w:sz w:val="16"/>
                <w:szCs w:val="16"/>
              </w:rPr>
              <w:t>- </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TOPLAM ÖZKAYNAK</w:t>
            </w:r>
          </w:p>
        </w:tc>
        <w:tc>
          <w:tcPr>
            <w:tcW w:w="1417" w:type="dxa"/>
            <w:shd w:val="clear" w:color="auto" w:fill="FFFFFF"/>
            <w:noWrap/>
            <w:vAlign w:val="bottom"/>
          </w:tcPr>
          <w:p>
            <w:pPr>
              <w:jc w:val="right"/>
              <w:rPr>
                <w:b/>
                <w:bCs/>
                <w:sz w:val="16"/>
                <w:szCs w:val="16"/>
              </w:rPr>
            </w:pPr>
            <w:r>
              <w:rPr>
                <w:b/>
                <w:bCs/>
                <w:sz w:val="16"/>
                <w:szCs w:val="16"/>
              </w:rPr>
              <w:t>520.5</w:t>
            </w:r>
            <w:r>
              <w:rPr>
                <w:b/>
                <w:bCs/>
                <w:sz w:val="16"/>
                <w:szCs w:val="16"/>
              </w:rPr>
              <w:t>54</w:t>
            </w:r>
          </w:p>
        </w:tc>
        <w:tc>
          <w:tcPr>
            <w:tcW w:w="1417" w:type="dxa"/>
            <w:shd w:val="clear" w:color="auto" w:fill="FFFFFF"/>
            <w:noWrap/>
            <w:vAlign w:val="bottom"/>
          </w:tcPr>
          <w:p>
            <w:pPr>
              <w:jc w:val="right"/>
              <w:rPr>
                <w:b/>
                <w:bCs/>
                <w:sz w:val="16"/>
                <w:szCs w:val="16"/>
              </w:rPr>
            </w:pPr>
            <w:r>
              <w:rPr>
                <w:b/>
                <w:bCs/>
                <w:sz w:val="16"/>
                <w:szCs w:val="16"/>
              </w:rPr>
              <w:t>514.234</w:t>
            </w:r>
          </w:p>
        </w:tc>
      </w:tr>
    </w:tbl>
    <w:p>
      <w:pPr>
        <w:tabs>
          <w:tab w:val="left" w:pos="851"/>
        </w:tabs>
        <w:ind w:left="567" w:hanging="567"/>
        <w:jc w:val="both"/>
        <w:rPr>
          <w:b/>
          <w:bCs/>
          <w:sz w:val="6"/>
          <w:szCs w:val="6"/>
        </w:rPr>
      </w:pPr>
    </w:p>
    <w:p>
      <w:pPr>
        <w:tabs>
          <w:tab w:val="left" w:pos="851"/>
        </w:tabs>
        <w:ind w:left="567" w:hanging="567"/>
        <w:jc w:val="both"/>
        <w:rPr>
          <w:b/>
          <w:bCs/>
        </w:rPr>
      </w:pPr>
      <w:r>
        <w:rPr>
          <w:b/>
          <w:bCs/>
        </w:rPr>
        <w:br w:type="page"/>
      </w:r>
    </w:p>
    <w:p>
      <w:pPr>
        <w:tabs>
          <w:tab w:val="left" w:pos="851"/>
        </w:tabs>
        <w:ind w:left="567" w:hanging="567"/>
        <w:jc w:val="both"/>
        <w:rPr>
          <w:b/>
          <w:bCs/>
          <w:sz w:val="22"/>
          <w:szCs w:val="22"/>
        </w:rPr>
      </w:pPr>
    </w:p>
    <w:p>
      <w:pPr>
        <w:tabs>
          <w:tab w:val="left" w:pos="851"/>
        </w:tabs>
        <w:ind w:left="567" w:hanging="567"/>
        <w:jc w:val="both"/>
        <w:rPr>
          <w:b/>
          <w:bCs/>
          <w:sz w:val="22"/>
          <w:szCs w:val="22"/>
        </w:rPr>
      </w:pPr>
      <w:r>
        <w:rPr>
          <w:b/>
          <w:bCs/>
          <w:sz w:val="22"/>
          <w:szCs w:val="22"/>
        </w:rPr>
        <w:t>II-</w:t>
      </w:r>
      <w:r>
        <w:rPr>
          <w:b/>
          <w:bCs/>
          <w:sz w:val="22"/>
          <w:szCs w:val="22"/>
        </w:rPr>
        <w:tab/>
      </w:r>
      <w:r>
        <w:rPr>
          <w:b/>
          <w:bCs/>
          <w:sz w:val="22"/>
          <w:szCs w:val="22"/>
        </w:rPr>
        <w:t>Piyasa riskine ilişkin açıklamalar:</w:t>
      </w:r>
    </w:p>
    <w:p>
      <w:pPr>
        <w:jc w:val="both"/>
        <w:rPr>
          <w:sz w:val="10"/>
          <w:szCs w:val="22"/>
        </w:rPr>
      </w:pPr>
    </w:p>
    <w:p>
      <w:pPr>
        <w:ind w:left="540"/>
        <w:jc w:val="both"/>
        <w:rPr>
          <w:sz w:val="22"/>
          <w:szCs w:val="22"/>
        </w:rPr>
      </w:pPr>
      <w:r>
        <w:rPr>
          <w:sz w:val="22"/>
          <w:szCs w:val="22"/>
        </w:rPr>
        <w:t>Banka, finansal risk yönetimi amaçları çerçevesinde piyasa riskinden korunmak amacıyla 1 Kasım 2006 tarih ve 26333 sayılı Resmi Gazete’de yayımlanmış “Bankaların Sermaye Yeterliliğinin Ölçülmesine ve Değerlendirilmesine İlişkin Yönetmelik” kapsamında piyasa riski yönetimi faaliyetlerini belirlemiş ve gerekli önlemleri almıştır.</w:t>
      </w:r>
    </w:p>
    <w:p>
      <w:pPr>
        <w:ind w:left="540"/>
        <w:jc w:val="both"/>
        <w:rPr>
          <w:sz w:val="14"/>
          <w:szCs w:val="22"/>
        </w:rPr>
      </w:pPr>
    </w:p>
    <w:p>
      <w:pPr>
        <w:ind w:left="540"/>
        <w:jc w:val="both"/>
        <w:rPr>
          <w:sz w:val="22"/>
          <w:szCs w:val="22"/>
        </w:rPr>
      </w:pPr>
      <w:r>
        <w:rPr>
          <w:sz w:val="22"/>
          <w:szCs w:val="22"/>
        </w:rPr>
        <w:t>Banka</w:t>
      </w:r>
      <w:r>
        <w:rPr>
          <w:sz w:val="22"/>
          <w:szCs w:val="22"/>
        </w:rPr>
        <w:t>’</w:t>
      </w:r>
      <w:r>
        <w:rPr>
          <w:sz w:val="22"/>
          <w:szCs w:val="22"/>
        </w:rPr>
        <w:t>nın piyasa riskinin ölçülmesinde, yasal raporlama formatı olarak belirlenen standart metot kullanılmaktadır. Standart metot kullanılarak yapılan piyasa riski hesaplamaları aylık bazda gerçekleştirilmekte, elde edilen ölçüm sonuçları Sermaye Yeterliliği Standart Oranının hesaplanmasında da dikkate alınmaktadır.</w:t>
      </w:r>
    </w:p>
    <w:p>
      <w:pPr>
        <w:jc w:val="both"/>
        <w:rPr>
          <w:sz w:val="22"/>
          <w:szCs w:val="22"/>
        </w:rPr>
      </w:pPr>
    </w:p>
    <w:p>
      <w:pPr>
        <w:numPr>
          <w:ilvl w:val="0"/>
          <w:numId w:val="17"/>
        </w:numPr>
        <w:tabs>
          <w:tab w:val="left" w:pos="993"/>
        </w:tabs>
        <w:ind w:left="567" w:firstLine="0"/>
        <w:jc w:val="both"/>
        <w:rPr>
          <w:b/>
          <w:bCs/>
          <w:sz w:val="22"/>
          <w:szCs w:val="22"/>
        </w:rPr>
      </w:pPr>
      <w:r>
        <w:rPr>
          <w:b/>
          <w:bCs/>
          <w:sz w:val="22"/>
          <w:szCs w:val="22"/>
        </w:rPr>
        <w:t xml:space="preserve">Piyasa riskine ilişkin bilgiler: </w:t>
      </w:r>
    </w:p>
    <w:p>
      <w:pPr>
        <w:jc w:val="both"/>
        <w:rPr>
          <w:b/>
          <w:bCs/>
          <w:sz w:val="22"/>
          <w:szCs w:val="22"/>
        </w:rPr>
      </w:pPr>
    </w:p>
    <w:tbl>
      <w:tblPr>
        <w:tblW w:w="9214" w:type="dxa"/>
        <w:tblInd w:w="637" w:type="dxa"/>
        <w:tblCellMar>
          <w:left w:w="70" w:type="dxa"/>
          <w:right w:w="70" w:type="dxa"/>
        </w:tblCellMar>
        <w:tblLook w:val="0000"/>
      </w:tblPr>
      <w:tblGrid>
        <w:gridCol w:w="7943"/>
        <w:gridCol w:w="1271"/>
      </w:tblGrid>
      <w:tr>
        <w:trPr>
          <w:trHeight w:val="434"/>
        </w:trPr>
        <w:tc>
          <w:tcPr>
            <w:tcW w:w="7943"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27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Tutar</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 Genel Piyasa Riski İçin Hesaplanan Sermaye Yükümlülüğü-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1.674</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(II) Spesifik Risk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418</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(III) Kur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5.345</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(IV) Emtia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 Takas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169"/>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 Opsiyonlardan Kaynaklanan Piyasa Riski İçin Hesaplanan Sermaye Yükümlülüğü – Standart Metot</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7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(VII) Risk Ölçüm Modeli Kullanan Bankalarda Piyasa Riski İçin Hesaplanan Sermaye Yükümlülüğü</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78"/>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(VIII) Piyasa Riski İçin Hesaplanan Toplam Sermaye Yükümlülüğü (I+II+III+IV+V+VI)  </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7.437</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(IX) Piyasa Riskine Esas Tutar (12,5 x VIII) ya da (12,5 x VII)</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92.963</w:t>
            </w:r>
          </w:p>
        </w:tc>
      </w:tr>
    </w:tbl>
    <w:p>
      <w:pPr>
        <w:jc w:val="both"/>
        <w:rPr>
          <w:b/>
          <w:bCs/>
          <w:sz w:val="20"/>
          <w:szCs w:val="20"/>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w:t>
      </w:r>
    </w:p>
    <w:p>
      <w:pPr>
        <w:pStyle w:val="1tipi"/>
        <w:tabs>
          <w:tab w:val="clear" w:pos="1134"/>
        </w:tabs>
        <w:rPr>
          <w:rFonts w:ascii="Times New Roman" w:hAnsi="Times New Roman" w:cs="Times New Roman"/>
          <w:sz w:val="20"/>
          <w:szCs w:val="20"/>
          <w:lang w:val="tr-TR"/>
        </w:rPr>
      </w:pPr>
    </w:p>
    <w:p>
      <w:pPr>
        <w:ind w:left="567"/>
        <w:jc w:val="both"/>
        <w:rPr>
          <w:sz w:val="22"/>
          <w:szCs w:val="22"/>
        </w:rPr>
      </w:pPr>
      <w:r>
        <w:rPr>
          <w:sz w:val="22"/>
          <w:szCs w:val="22"/>
        </w:rPr>
        <w:t xml:space="preserve">Banka’nın karşı karşıya kaldığı kur riskinin ölçülmesinde, yasal raporlama için belirlenen standart metot kullanılmaktadır. </w:t>
      </w:r>
    </w:p>
    <w:p>
      <w:pPr>
        <w:ind w:left="567"/>
        <w:jc w:val="both"/>
        <w:rPr>
          <w:sz w:val="20"/>
          <w:szCs w:val="20"/>
        </w:rPr>
      </w:pPr>
    </w:p>
    <w:p>
      <w:pPr>
        <w:ind w:left="567"/>
        <w:jc w:val="both"/>
        <w:rPr>
          <w:sz w:val="22"/>
          <w:szCs w:val="22"/>
        </w:rPr>
      </w:pPr>
      <w:r>
        <w:rPr>
          <w:sz w:val="22"/>
          <w:szCs w:val="22"/>
        </w:rPr>
        <w:t>Bunun yanı sıra, günlük bazda Banka</w:t>
      </w:r>
      <w:r>
        <w:rPr>
          <w:sz w:val="22"/>
          <w:szCs w:val="22"/>
        </w:rPr>
        <w:t>’</w:t>
      </w:r>
      <w:r>
        <w:rPr>
          <w:sz w:val="22"/>
          <w:szCs w:val="22"/>
        </w:rPr>
        <w:t xml:space="preserve">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pPr>
        <w:jc w:val="both"/>
        <w:rPr>
          <w:rFonts w:eastAsia="Arial Unicode MS"/>
          <w:b/>
          <w:bCs/>
          <w:sz w:val="20"/>
          <w:szCs w:val="20"/>
        </w:rPr>
      </w:pPr>
    </w:p>
    <w:p>
      <w:pPr>
        <w:ind w:left="540" w:hanging="1"/>
        <w:jc w:val="both"/>
        <w:rPr>
          <w:rFonts w:eastAsia="Arial Unicode MS"/>
          <w:bCs/>
          <w:sz w:val="22"/>
          <w:szCs w:val="22"/>
        </w:rPr>
      </w:pPr>
      <w:r>
        <w:rPr>
          <w:rFonts w:eastAsia="Arial Unicode MS"/>
          <w:bCs/>
          <w:sz w:val="22"/>
          <w:szCs w:val="22"/>
        </w:rPr>
        <w:t>Banka’nın yabancı para</w:t>
      </w:r>
      <w:r>
        <w:rPr>
          <w:rFonts w:eastAsia="Arial Unicode MS"/>
          <w:bCs/>
          <w:sz w:val="22"/>
          <w:szCs w:val="22"/>
        </w:rPr>
        <w:t xml:space="preserve"> cinsinden borçlanma araçlarını ve net yabancı para yatırımlarını riskten koru</w:t>
      </w:r>
      <w:r>
        <w:rPr>
          <w:rFonts w:eastAsia="Arial Unicode MS"/>
          <w:bCs/>
          <w:sz w:val="22"/>
          <w:szCs w:val="22"/>
        </w:rPr>
        <w:t>n</w:t>
      </w:r>
      <w:r>
        <w:rPr>
          <w:rFonts w:eastAsia="Arial Unicode MS"/>
          <w:bCs/>
          <w:sz w:val="22"/>
          <w:szCs w:val="22"/>
        </w:rPr>
        <w:t>ma amaçlı türev aracı bulunmamaktadır.</w:t>
      </w:r>
    </w:p>
    <w:p>
      <w:pPr>
        <w:ind w:left="540"/>
        <w:jc w:val="both"/>
        <w:rPr>
          <w:sz w:val="20"/>
          <w:szCs w:val="20"/>
        </w:rPr>
      </w:pPr>
    </w:p>
    <w:p>
      <w:pPr>
        <w:ind w:left="540"/>
        <w:jc w:val="both"/>
        <w:rPr>
          <w:sz w:val="22"/>
          <w:szCs w:val="22"/>
        </w:rPr>
      </w:pPr>
      <w:r>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pPr>
        <w:ind w:left="567"/>
        <w:jc w:val="both"/>
        <w:rPr>
          <w:b/>
          <w:bCs/>
          <w:sz w:val="20"/>
          <w:szCs w:val="20"/>
        </w:rPr>
      </w:pPr>
    </w:p>
    <w:p>
      <w:pPr>
        <w:ind w:left="567"/>
        <w:jc w:val="both"/>
        <w:rPr>
          <w:bCs/>
          <w:sz w:val="22"/>
          <w:szCs w:val="22"/>
        </w:rPr>
      </w:pPr>
      <w:r>
        <w:rPr>
          <w:bCs/>
          <w:sz w:val="22"/>
          <w:szCs w:val="22"/>
        </w:rPr>
        <w:t>Finansal tablo tarihi ile bu tarihten geriye doğru son beş iş günü itibarıyla bankaca kamuya duyurulan cari döviz alış kurları aşağıdaki gibidir:</w:t>
      </w:r>
    </w:p>
    <w:p>
      <w:pPr>
        <w:tabs>
          <w:tab w:val="left" w:pos="567"/>
        </w:tabs>
        <w:ind w:left="567" w:hanging="567"/>
        <w:jc w:val="both"/>
        <w:rPr>
          <w:b/>
          <w:bCs/>
          <w:sz w:val="22"/>
          <w:szCs w:val="22"/>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 (devam ediyor):</w:t>
      </w:r>
    </w:p>
    <w:p>
      <w:pPr>
        <w:tabs>
          <w:tab w:val="left" w:pos="567"/>
        </w:tabs>
        <w:jc w:val="both"/>
        <w:rPr>
          <w:b/>
          <w:bCs/>
          <w:sz w:val="12"/>
          <w:szCs w:val="12"/>
        </w:rPr>
      </w:pPr>
    </w:p>
    <w:tbl>
      <w:tblPr>
        <w:tblW w:w="0" w:type="auto"/>
        <w:tblInd w:w="675" w:type="dxa"/>
        <w:tblLook w:val="04A0"/>
      </w:tblPr>
      <w:tblGrid>
        <w:gridCol w:w="2268"/>
        <w:gridCol w:w="283"/>
        <w:gridCol w:w="2041"/>
        <w:gridCol w:w="283"/>
        <w:gridCol w:w="2041"/>
        <w:gridCol w:w="283"/>
        <w:gridCol w:w="2041"/>
      </w:tblGrid>
      <w:tr>
        <w:trPr>
          <w:trHeight w:val="20"/>
        </w:trPr>
        <w:tc>
          <w:tcPr>
            <w:tcW w:w="2268" w:type="dxa"/>
            <w:vAlign w:val="bottom"/>
          </w:tcPr>
          <w:p>
            <w:pPr>
              <w:jc w:val="center"/>
              <w:rPr>
                <w:b/>
                <w:bCs/>
                <w:sz w:val="18"/>
                <w:szCs w:val="18"/>
                <w:u w:val="single"/>
              </w:rPr>
            </w:pPr>
            <w:r>
              <w:rPr>
                <w:b/>
                <w:bCs/>
                <w:sz w:val="18"/>
                <w:szCs w:val="18"/>
                <w:u w:val="single"/>
              </w:rPr>
              <w:t>Tarih</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USD</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EURO</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100 JPY</w:t>
            </w:r>
          </w:p>
        </w:tc>
      </w:tr>
      <w:tr>
        <w:trPr>
          <w:trHeight w:val="104"/>
        </w:trPr>
        <w:tc>
          <w:tcPr>
            <w:tcW w:w="2268" w:type="dxa"/>
            <w:vAlign w:val="bottom"/>
          </w:tcPr>
          <w:p>
            <w:pPr>
              <w:jc w:val="center"/>
              <w:rPr>
                <w:bCs/>
                <w:sz w:val="18"/>
                <w:szCs w:val="18"/>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r>
      <w:tr>
        <w:trPr>
          <w:trHeight w:val="20"/>
        </w:trPr>
        <w:tc>
          <w:tcPr>
            <w:tcW w:w="2268" w:type="dxa"/>
            <w:vAlign w:val="bottom"/>
          </w:tcPr>
          <w:p>
            <w:pPr>
              <w:jc w:val="center"/>
              <w:rPr>
                <w:bCs/>
                <w:sz w:val="18"/>
                <w:szCs w:val="18"/>
              </w:rPr>
            </w:pPr>
            <w:r>
              <w:rPr>
                <w:bCs/>
                <w:sz w:val="18"/>
                <w:szCs w:val="18"/>
              </w:rPr>
              <w:t>30/06/2011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w:t>
            </w:r>
            <w:r>
              <w:rPr>
                <w:bCs/>
                <w:sz w:val="18"/>
                <w:szCs w:val="18"/>
              </w:rPr>
              <w:t>59620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2,29280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1,98830</w:t>
            </w:r>
          </w:p>
        </w:tc>
      </w:tr>
      <w:tr>
        <w:trPr>
          <w:trHeight w:val="20"/>
        </w:trPr>
        <w:tc>
          <w:tcPr>
            <w:tcW w:w="2268" w:type="dxa"/>
            <w:vAlign w:val="bottom"/>
          </w:tcPr>
          <w:p>
            <w:pPr>
              <w:jc w:val="center"/>
              <w:rPr>
                <w:b/>
                <w:bCs/>
                <w:sz w:val="18"/>
                <w:szCs w:val="18"/>
                <w:u w:val="single"/>
              </w:rPr>
            </w:pPr>
            <w:r>
              <w:rPr>
                <w:bCs/>
                <w:sz w:val="18"/>
                <w:szCs w:val="18"/>
              </w:rPr>
              <w:t>29/06/2011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1,62240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2,31600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2,00720</w:t>
            </w:r>
          </w:p>
        </w:tc>
      </w:tr>
      <w:tr>
        <w:trPr>
          <w:trHeight w:val="20"/>
        </w:trPr>
        <w:tc>
          <w:tcPr>
            <w:tcW w:w="2268" w:type="dxa"/>
            <w:vAlign w:val="bottom"/>
          </w:tcPr>
          <w:p>
            <w:pPr>
              <w:jc w:val="center"/>
              <w:rPr>
                <w:b/>
                <w:bCs/>
                <w:sz w:val="18"/>
                <w:szCs w:val="18"/>
                <w:u w:val="single"/>
              </w:rPr>
            </w:pPr>
            <w:r>
              <w:rPr>
                <w:sz w:val="18"/>
                <w:szCs w:val="18"/>
                <w:lang w:eastAsia="en-US"/>
              </w:rPr>
              <w:t>28/06/2011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1,62130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2,30110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2,00930</w:t>
            </w:r>
          </w:p>
        </w:tc>
      </w:tr>
      <w:tr>
        <w:trPr>
          <w:trHeight w:val="20"/>
        </w:trPr>
        <w:tc>
          <w:tcPr>
            <w:tcW w:w="2268" w:type="dxa"/>
            <w:vAlign w:val="bottom"/>
          </w:tcPr>
          <w:p>
            <w:pPr>
              <w:jc w:val="center"/>
              <w:rPr>
                <w:b/>
                <w:bCs/>
                <w:sz w:val="18"/>
                <w:szCs w:val="18"/>
                <w:u w:val="single"/>
              </w:rPr>
            </w:pPr>
            <w:r>
              <w:rPr>
                <w:sz w:val="18"/>
                <w:szCs w:val="18"/>
              </w:rPr>
              <w:t>27/06/2011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1,62330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2,28900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2,02080</w:t>
            </w:r>
          </w:p>
        </w:tc>
      </w:tr>
      <w:tr>
        <w:trPr>
          <w:trHeight w:val="20"/>
        </w:trPr>
        <w:tc>
          <w:tcPr>
            <w:tcW w:w="2268" w:type="dxa"/>
            <w:vAlign w:val="bottom"/>
          </w:tcPr>
          <w:p>
            <w:pPr>
              <w:jc w:val="center"/>
              <w:rPr>
                <w:b/>
                <w:bCs/>
                <w:sz w:val="18"/>
                <w:szCs w:val="18"/>
                <w:u w:val="single"/>
              </w:rPr>
            </w:pPr>
            <w:r>
              <w:rPr>
                <w:sz w:val="18"/>
                <w:szCs w:val="18"/>
              </w:rPr>
              <w:t>24/06/2011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1,61620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2,29940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2,01070</w:t>
            </w:r>
          </w:p>
        </w:tc>
      </w:tr>
      <w:tr>
        <w:trPr>
          <w:trHeight w:val="20"/>
        </w:trPr>
        <w:tc>
          <w:tcPr>
            <w:tcW w:w="2268" w:type="dxa"/>
            <w:vAlign w:val="bottom"/>
          </w:tcPr>
          <w:p>
            <w:pPr>
              <w:jc w:val="center"/>
              <w:rPr>
                <w:b/>
                <w:bCs/>
                <w:sz w:val="18"/>
                <w:szCs w:val="18"/>
                <w:u w:val="single"/>
              </w:rPr>
            </w:pPr>
            <w:r>
              <w:rPr>
                <w:sz w:val="18"/>
                <w:szCs w:val="18"/>
              </w:rPr>
              <w:t>23/06/2011</w:t>
            </w:r>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1,60680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2,29420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2,00350</w:t>
            </w:r>
          </w:p>
        </w:tc>
      </w:tr>
    </w:tbl>
    <w:p>
      <w:pPr>
        <w:tabs>
          <w:tab w:val="left" w:pos="567"/>
        </w:tabs>
        <w:jc w:val="both"/>
        <w:rPr>
          <w:b/>
          <w:bCs/>
          <w:sz w:val="8"/>
          <w:szCs w:val="8"/>
        </w:rPr>
      </w:pPr>
    </w:p>
    <w:p>
      <w:pPr>
        <w:tabs>
          <w:tab w:val="left" w:pos="567"/>
        </w:tabs>
        <w:ind w:left="567"/>
        <w:jc w:val="both"/>
        <w:rPr>
          <w:sz w:val="22"/>
          <w:szCs w:val="22"/>
        </w:rPr>
      </w:pPr>
      <w:r>
        <w:rPr>
          <w:sz w:val="22"/>
          <w:szCs w:val="22"/>
        </w:rPr>
        <w:t>Bankanın döviz alış kurunun finansal tablo tarihinden geriye doğru son otuz günlük basit aritmetik ortalama değeri;</w:t>
      </w:r>
      <w:r>
        <w:rPr>
          <w:b/>
          <w:bCs/>
          <w:sz w:val="22"/>
          <w:szCs w:val="22"/>
        </w:rPr>
        <w:t xml:space="preserve"> </w:t>
      </w:r>
      <w:r>
        <w:rPr>
          <w:sz w:val="22"/>
          <w:szCs w:val="22"/>
        </w:rPr>
        <w:t>USD: 1,</w:t>
      </w:r>
      <w:r>
        <w:rPr>
          <w:sz w:val="22"/>
          <w:szCs w:val="22"/>
        </w:rPr>
        <w:t>58400</w:t>
      </w:r>
      <w:r>
        <w:rPr>
          <w:sz w:val="22"/>
          <w:szCs w:val="22"/>
        </w:rPr>
        <w:t xml:space="preserve"> TL, EURO: </w:t>
      </w:r>
      <w:r>
        <w:rPr>
          <w:sz w:val="22"/>
          <w:szCs w:val="22"/>
        </w:rPr>
        <w:t>2</w:t>
      </w:r>
      <w:r>
        <w:rPr>
          <w:sz w:val="22"/>
          <w:szCs w:val="22"/>
        </w:rPr>
        <w:t>,</w:t>
      </w:r>
      <w:r>
        <w:rPr>
          <w:sz w:val="22"/>
          <w:szCs w:val="22"/>
        </w:rPr>
        <w:t>27077</w:t>
      </w:r>
      <w:r>
        <w:rPr>
          <w:sz w:val="22"/>
          <w:szCs w:val="22"/>
        </w:rPr>
        <w:t xml:space="preserve"> TL, 100 JPY: 1,</w:t>
      </w:r>
      <w:r>
        <w:rPr>
          <w:sz w:val="22"/>
          <w:szCs w:val="22"/>
        </w:rPr>
        <w:t>97200</w:t>
      </w:r>
      <w:r>
        <w:rPr>
          <w:sz w:val="22"/>
          <w:szCs w:val="22"/>
        </w:rPr>
        <w:t xml:space="preserve"> TL’dir.</w:t>
      </w:r>
    </w:p>
    <w:p>
      <w:pPr>
        <w:tabs>
          <w:tab w:val="left" w:pos="567"/>
        </w:tabs>
        <w:ind w:left="567"/>
        <w:jc w:val="both"/>
        <w:rPr>
          <w:b/>
          <w:bCs/>
          <w:sz w:val="12"/>
          <w:szCs w:val="12"/>
        </w:rPr>
      </w:pPr>
    </w:p>
    <w:p>
      <w:pPr>
        <w:jc w:val="both"/>
        <w:rPr>
          <w:sz w:val="2"/>
          <w:szCs w:val="22"/>
        </w:rPr>
      </w:pPr>
    </w:p>
    <w:p>
      <w:pPr>
        <w:pStyle w:val="1tipi"/>
        <w:tabs>
          <w:tab w:val="clear" w:pos="1134"/>
          <w:tab w:val="left" w:pos="0"/>
          <w:tab w:val="left" w:pos="567"/>
        </w:tabs>
        <w:rPr>
          <w:rFonts w:ascii="Times New Roman" w:hAnsi="Times New Roman" w:cs="Times New Roman"/>
          <w:b/>
          <w:bCs/>
          <w:sz w:val="22"/>
          <w:szCs w:val="22"/>
          <w:lang w:val="tr-TR"/>
        </w:rPr>
      </w:pPr>
      <w:r>
        <w:rPr>
          <w:rFonts w:ascii="Times New Roman" w:hAnsi="Times New Roman" w:cs="Times New Roman"/>
          <w:b/>
          <w:bCs/>
          <w:sz w:val="22"/>
          <w:szCs w:val="22"/>
          <w:lang w:val="tr-TR"/>
        </w:rPr>
        <w:tab/>
      </w:r>
      <w:r>
        <w:rPr>
          <w:rFonts w:ascii="Times New Roman" w:hAnsi="Times New Roman" w:cs="Times New Roman"/>
          <w:b/>
          <w:bCs/>
          <w:sz w:val="22"/>
          <w:szCs w:val="22"/>
          <w:lang w:val="tr-TR"/>
        </w:rPr>
        <w:t>Bankanı</w:t>
      </w:r>
      <w:r>
        <w:rPr>
          <w:rFonts w:ascii="Times New Roman" w:hAnsi="Times New Roman" w:cs="Times New Roman"/>
          <w:b/>
          <w:bCs/>
          <w:sz w:val="22"/>
          <w:szCs w:val="22"/>
          <w:lang w:val="tr-TR"/>
        </w:rPr>
        <w:t>n kur riskine ilişkin bilgiler:</w:t>
      </w:r>
    </w:p>
    <w:p>
      <w:pPr>
        <w:pStyle w:val="1tipi"/>
        <w:tabs>
          <w:tab w:val="clear" w:pos="1134"/>
        </w:tabs>
        <w:rPr>
          <w:rFonts w:ascii="Times New Roman" w:hAnsi="Times New Roman" w:cs="Times New Roman"/>
          <w:sz w:val="12"/>
          <w:szCs w:val="12"/>
          <w:lang w:val="tr-TR"/>
        </w:rPr>
      </w:pPr>
    </w:p>
    <w:tbl>
      <w:tblPr>
        <w:tblW w:w="9241" w:type="dxa"/>
        <w:tblInd w:w="637" w:type="dxa"/>
        <w:tblLayout w:type="fixed"/>
        <w:tblCellMar>
          <w:left w:w="70" w:type="dxa"/>
          <w:right w:w="70" w:type="dxa"/>
        </w:tblCellMar>
        <w:tblLook w:val="00A0"/>
      </w:tblPr>
      <w:tblGrid>
        <w:gridCol w:w="4989"/>
        <w:gridCol w:w="850"/>
        <w:gridCol w:w="851"/>
        <w:gridCol w:w="850"/>
        <w:gridCol w:w="850"/>
        <w:gridCol w:w="851"/>
      </w:tblGrid>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Diğer YP</w:t>
            </w:r>
            <w:r>
              <w:rPr>
                <w:b/>
                <w:bCs/>
                <w:sz w:val="18"/>
                <w:szCs w:val="18"/>
              </w:rPr>
              <w:t xml:space="preserve"> </w:t>
            </w:r>
            <w:r>
              <w:rPr>
                <w:b/>
                <w:bCs/>
                <w:sz w:val="18"/>
                <w:szCs w:val="18"/>
                <w:vertAlign w:val="superscript"/>
              </w:rPr>
              <w:t>(</w:t>
            </w:r>
            <w:r>
              <w:rPr>
                <w:b/>
                <w:bCs/>
                <w:sz w:val="18"/>
                <w:szCs w:val="18"/>
                <w:vertAlign w:val="superscript"/>
              </w:rPr>
              <w:t>1</w:t>
            </w:r>
            <w:r>
              <w:rPr>
                <w:b/>
                <w:bCs/>
                <w:sz w:val="18"/>
                <w:szCs w:val="18"/>
                <w:vertAlign w:val="superscript"/>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w:t>
            </w:r>
            <w:r>
              <w:rPr>
                <w:b/>
                <w:bCs/>
                <w:sz w:val="18"/>
                <w:szCs w:val="18"/>
              </w:rPr>
              <w:t>30.06</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Nakit Değerler (Kasa, Efektif Deposu, Yoldaki Paralar, Satın Alınan Çekler) ve T.C. 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1.730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116</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3.017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Gerçeğe Uygun Değer Farkı Kar/Zarara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Krediler</w:t>
            </w:r>
            <w:r>
              <w:rPr>
                <w:sz w:val="18"/>
                <w:szCs w:val="18"/>
                <w:vertAlign w:val="superscript"/>
              </w:rPr>
              <w:t>(2)</w:t>
            </w:r>
            <w:r>
              <w:rPr>
                <w:sz w:val="18"/>
                <w:szCs w:val="18"/>
              </w:rPr>
              <w:t xml:space="preserve">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906.852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340.896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16.774</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1.264.522</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 xml:space="preserve">İştirak. Bağlı Ortaklık ve Birlikte Kontrol Edilen Ortaklıklar (İş Ortaklıkları)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1.003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1.003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Riskten Korunma Amaçlı Türev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Olmayan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1.141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1.224</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909.668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343.151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16.890</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1.269.766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Döviz Tevdiat Hesabı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927.947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346.450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17.689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1.292.086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1.361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1.456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Riskten Korunma Amaçlı Türev Finansal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32</w:t>
            </w: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929.310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346.575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17.689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1.293.574</w:t>
            </w:r>
          </w:p>
        </w:tc>
      </w:tr>
      <w:tr>
        <w:trPr>
          <w:trHeight w:val="198"/>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(19.642)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(3.424)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(799)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(23.808)</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(16.851)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(20.513)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11.350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13.813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25.163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28.201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17.475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45.676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Gayrinakdi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48.044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40.387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88.431</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1"/>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Varlıklar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648.736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295.481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17.499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961.770</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Yükümlülükler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645.442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292.641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18.680</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956.763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3.294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(1.181)</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5.007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w:t>
            </w:r>
          </w:p>
        </w:tc>
      </w:tr>
      <w:tr>
        <w:trPr>
          <w:trHeight w:val="170"/>
        </w:trPr>
        <w:tc>
          <w:tcPr>
            <w:tcW w:w="4989" w:type="dxa"/>
            <w:tcBorders>
              <w:top w:val="nil"/>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Alacak</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nil"/>
              <w:right w:val="single" w:sz="4" w:space="0" w:color="auto"/>
            </w:tcBorders>
            <w:shd w:val="clear" w:color="000000" w:fill="FFFFFF"/>
            <w:vAlign w:val="bottom"/>
          </w:tcPr>
          <w:p>
            <w:pPr>
              <w:jc w:val="right"/>
              <w:rPr>
                <w:sz w:val="16"/>
                <w:szCs w:val="16"/>
              </w:rPr>
            </w:pPr>
            <w:r>
              <w:rPr>
                <w:sz w:val="16"/>
                <w:szCs w:val="16"/>
              </w:rPr>
              <w:t>4.212</w:t>
            </w:r>
          </w:p>
        </w:tc>
      </w:tr>
      <w:tr>
        <w:trPr>
          <w:trHeight w:val="170"/>
        </w:trPr>
        <w:tc>
          <w:tcPr>
            <w:tcW w:w="4989" w:type="dxa"/>
            <w:tcBorders>
              <w:top w:val="single" w:sz="4" w:space="0" w:color="auto"/>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nil"/>
              <w:right w:val="single" w:sz="4" w:space="0" w:color="auto"/>
            </w:tcBorders>
            <w:shd w:val="clear" w:color="000000" w:fill="FFFFFF"/>
            <w:vAlign w:val="bottom"/>
          </w:tcPr>
          <w:p>
            <w:pPr>
              <w:jc w:val="right"/>
              <w:rPr>
                <w:sz w:val="16"/>
                <w:szCs w:val="16"/>
              </w:rPr>
            </w:pPr>
            <w:r>
              <w:rPr>
                <w:sz w:val="16"/>
                <w:szCs w:val="16"/>
              </w:rPr>
              <w:t>4.211</w:t>
            </w:r>
          </w:p>
        </w:tc>
      </w:tr>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Gayrinakdi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7.471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7.500</w:t>
            </w:r>
          </w:p>
        </w:tc>
      </w:tr>
    </w:tbl>
    <w:p>
      <w:pPr>
        <w:tabs>
          <w:tab w:val="left" w:pos="360"/>
        </w:tabs>
        <w:jc w:val="both"/>
        <w:rPr>
          <w:rFonts w:eastAsia="Arial Unicode MS"/>
          <w:sz w:val="6"/>
          <w:szCs w:val="6"/>
        </w:rPr>
      </w:pPr>
    </w:p>
    <w:p>
      <w:pPr>
        <w:numPr>
          <w:ilvl w:val="0"/>
          <w:numId w:val="16"/>
        </w:numPr>
        <w:tabs>
          <w:tab w:val="left" w:pos="851"/>
        </w:tabs>
        <w:ind w:left="851" w:hanging="284"/>
        <w:jc w:val="both"/>
      </w:pPr>
      <w:r>
        <w:rPr>
          <w:rFonts w:eastAsia="Arial Unicode MS"/>
          <w:sz w:val="18"/>
          <w:szCs w:val="18"/>
        </w:rPr>
        <w:t>Varlıklar bölümünün diğer YP sütununda yer alan dövizlerin %99</w:t>
      </w:r>
      <w:r>
        <w:rPr>
          <w:rFonts w:eastAsia="Arial Unicode MS"/>
          <w:sz w:val="18"/>
          <w:szCs w:val="18"/>
        </w:rPr>
        <w:t>,</w:t>
      </w:r>
      <w:r>
        <w:rPr>
          <w:rFonts w:eastAsia="Arial Unicode MS"/>
          <w:sz w:val="18"/>
          <w:szCs w:val="18"/>
        </w:rPr>
        <w:t>31</w:t>
      </w:r>
      <w:r>
        <w:rPr>
          <w:rFonts w:eastAsia="Arial Unicode MS"/>
          <w:sz w:val="18"/>
          <w:szCs w:val="18"/>
        </w:rPr>
        <w:t>’s</w:t>
      </w:r>
      <w:r>
        <w:rPr>
          <w:rFonts w:eastAsia="Arial Unicode MS"/>
          <w:sz w:val="18"/>
          <w:szCs w:val="18"/>
        </w:rPr>
        <w:t xml:space="preserve">ı </w:t>
      </w:r>
      <w:r>
        <w:rPr>
          <w:rFonts w:eastAsia="Arial Unicode MS"/>
          <w:sz w:val="18"/>
          <w:szCs w:val="18"/>
        </w:rPr>
        <w:t>İ</w:t>
      </w:r>
      <w:r>
        <w:rPr>
          <w:rFonts w:eastAsia="Arial Unicode MS"/>
          <w:sz w:val="18"/>
          <w:szCs w:val="18"/>
        </w:rPr>
        <w:t>D</w:t>
      </w:r>
      <w:r>
        <w:rPr>
          <w:rFonts w:eastAsia="Arial Unicode MS"/>
          <w:sz w:val="18"/>
          <w:szCs w:val="18"/>
        </w:rPr>
        <w:t>,</w:t>
      </w:r>
      <w:r>
        <w:rPr>
          <w:rFonts w:eastAsia="Arial Unicode MS"/>
          <w:sz w:val="18"/>
          <w:szCs w:val="18"/>
        </w:rPr>
        <w:t xml:space="preserve"> %0</w:t>
      </w:r>
      <w:r>
        <w:rPr>
          <w:rFonts w:eastAsia="Arial Unicode MS"/>
          <w:sz w:val="18"/>
          <w:szCs w:val="18"/>
        </w:rPr>
        <w:t>,</w:t>
      </w:r>
      <w:r>
        <w:rPr>
          <w:rFonts w:eastAsia="Arial Unicode MS"/>
          <w:sz w:val="18"/>
          <w:szCs w:val="18"/>
        </w:rPr>
        <w:t>21</w:t>
      </w:r>
      <w:r>
        <w:rPr>
          <w:rFonts w:eastAsia="Arial Unicode MS"/>
          <w:sz w:val="18"/>
          <w:szCs w:val="18"/>
        </w:rPr>
        <w:t>’</w:t>
      </w:r>
      <w:r>
        <w:rPr>
          <w:rFonts w:eastAsia="Arial Unicode MS"/>
          <w:sz w:val="18"/>
          <w:szCs w:val="18"/>
        </w:rPr>
        <w:t>i</w:t>
      </w:r>
      <w:r>
        <w:rPr>
          <w:rFonts w:eastAsia="Arial Unicode MS"/>
          <w:sz w:val="18"/>
          <w:szCs w:val="18"/>
        </w:rPr>
        <w:t xml:space="preserve"> GBP ve %0</w:t>
      </w:r>
      <w:r>
        <w:rPr>
          <w:rFonts w:eastAsia="Arial Unicode MS"/>
          <w:sz w:val="18"/>
          <w:szCs w:val="18"/>
        </w:rPr>
        <w:t>,</w:t>
      </w:r>
      <w:r>
        <w:rPr>
          <w:rFonts w:eastAsia="Arial Unicode MS"/>
          <w:sz w:val="18"/>
          <w:szCs w:val="18"/>
        </w:rPr>
        <w:t>47</w:t>
      </w:r>
      <w:r>
        <w:rPr>
          <w:rFonts w:eastAsia="Arial Unicode MS"/>
          <w:sz w:val="18"/>
          <w:szCs w:val="18"/>
        </w:rPr>
        <w:t xml:space="preserve">’i </w:t>
      </w:r>
      <w:r>
        <w:rPr>
          <w:rFonts w:eastAsia="Arial Unicode MS"/>
          <w:sz w:val="18"/>
          <w:szCs w:val="18"/>
        </w:rPr>
        <w:t>CHF</w:t>
      </w:r>
      <w:r>
        <w:rPr>
          <w:rFonts w:eastAsia="Arial Unicode MS"/>
          <w:sz w:val="18"/>
          <w:szCs w:val="18"/>
        </w:rPr>
        <w:t>’</w:t>
      </w:r>
      <w:r>
        <w:rPr>
          <w:rFonts w:eastAsia="Arial Unicode MS"/>
          <w:sz w:val="18"/>
          <w:szCs w:val="18"/>
        </w:rPr>
        <w:t>den oluşmaktadır. Yükümlülükler bölümünün YP sütununda yer alan dövizlerin tamamı İD</w:t>
      </w:r>
      <w:r>
        <w:rPr>
          <w:rFonts w:eastAsia="Arial Unicode MS"/>
          <w:sz w:val="18"/>
          <w:szCs w:val="18"/>
        </w:rPr>
        <w:t>’</w:t>
      </w:r>
      <w:r>
        <w:rPr>
          <w:rFonts w:eastAsia="Arial Unicode MS"/>
          <w:sz w:val="18"/>
          <w:szCs w:val="18"/>
        </w:rPr>
        <w:t>den oluşmaktadır.</w:t>
      </w:r>
    </w:p>
    <w:p>
      <w:pPr>
        <w:tabs>
          <w:tab w:val="left" w:pos="360"/>
        </w:tabs>
        <w:ind w:left="360"/>
        <w:jc w:val="both"/>
        <w:rPr>
          <w:sz w:val="6"/>
          <w:szCs w:val="6"/>
        </w:rPr>
      </w:pPr>
    </w:p>
    <w:p>
      <w:pPr>
        <w:numPr>
          <w:ilvl w:val="0"/>
          <w:numId w:val="16"/>
        </w:numPr>
        <w:tabs>
          <w:tab w:val="left" w:pos="851"/>
        </w:tabs>
        <w:ind w:left="851" w:hanging="284"/>
        <w:jc w:val="both"/>
        <w:rPr>
          <w:rFonts w:eastAsia="Arial Unicode MS"/>
          <w:sz w:val="18"/>
          <w:szCs w:val="18"/>
        </w:rPr>
      </w:pPr>
      <w:r>
        <w:rPr>
          <w:rFonts w:eastAsia="Arial Unicode MS"/>
          <w:sz w:val="18"/>
          <w:szCs w:val="18"/>
        </w:rPr>
        <w:t>16</w:t>
      </w:r>
      <w:r>
        <w:rPr>
          <w:rFonts w:eastAsia="Arial Unicode MS"/>
          <w:sz w:val="18"/>
          <w:szCs w:val="18"/>
        </w:rPr>
        <w:t xml:space="preserve"> </w:t>
      </w:r>
      <w:r>
        <w:rPr>
          <w:rFonts w:eastAsia="Arial Unicode MS"/>
          <w:sz w:val="18"/>
          <w:szCs w:val="18"/>
        </w:rPr>
        <w:t xml:space="preserve">Bin </w:t>
      </w:r>
      <w:r>
        <w:rPr>
          <w:rFonts w:eastAsia="Arial Unicode MS"/>
          <w:sz w:val="18"/>
          <w:szCs w:val="18"/>
        </w:rPr>
        <w:t xml:space="preserve">USD karşılığı </w:t>
      </w:r>
      <w:r>
        <w:rPr>
          <w:rFonts w:eastAsia="Arial Unicode MS"/>
          <w:sz w:val="18"/>
          <w:szCs w:val="18"/>
        </w:rPr>
        <w:t>25</w:t>
      </w:r>
      <w:r>
        <w:rPr>
          <w:rFonts w:eastAsia="Arial Unicode MS"/>
          <w:sz w:val="18"/>
          <w:szCs w:val="18"/>
        </w:rPr>
        <w:t xml:space="preserve"> Bin TL tutarındaki dövize endeksli kredi </w:t>
      </w:r>
      <w:r>
        <w:rPr>
          <w:rFonts w:eastAsia="Arial Unicode MS"/>
          <w:sz w:val="18"/>
          <w:szCs w:val="18"/>
        </w:rPr>
        <w:t xml:space="preserve">finansal </w:t>
      </w:r>
      <w:r>
        <w:rPr>
          <w:rFonts w:eastAsia="Arial Unicode MS"/>
          <w:sz w:val="18"/>
          <w:szCs w:val="18"/>
        </w:rPr>
        <w:t xml:space="preserve">tablolarda TP krediler altında gösterilmektedir. </w:t>
      </w:r>
    </w:p>
    <w:p>
      <w:pPr>
        <w:tabs>
          <w:tab w:val="left" w:pos="567"/>
        </w:tabs>
        <w:jc w:val="both"/>
      </w:pPr>
      <w:r>
        <w:rPr>
          <w:rFonts w:eastAsia="Arial Unicode MS"/>
          <w:sz w:val="18"/>
          <w:szCs w:val="18"/>
        </w:rPr>
        <w:br w:type="page"/>
      </w:r>
    </w:p>
    <w:p>
      <w:pPr>
        <w:pStyle w:val="Heading2"/>
        <w:spacing w:before="0"/>
        <w:ind w:left="720"/>
        <w:jc w:val="both"/>
        <w:rPr>
          <w:rFonts w:ascii="Times New Roman" w:hAnsi="Times New Roman"/>
          <w:i w:val="0"/>
          <w:sz w:val="22"/>
          <w:szCs w:val="22"/>
        </w:rPr>
      </w:pPr>
    </w:p>
    <w:p>
      <w:pPr>
        <w:pStyle w:val="Heading2"/>
        <w:numPr>
          <w:ilvl w:val="0"/>
          <w:numId w:val="39"/>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w:t>
      </w:r>
    </w:p>
    <w:p>
      <w:pPr>
        <w:ind w:left="567"/>
        <w:jc w:val="both"/>
        <w:rPr>
          <w:b/>
          <w:bCs/>
          <w:sz w:val="22"/>
          <w:szCs w:val="22"/>
        </w:rPr>
      </w:pPr>
    </w:p>
    <w:p>
      <w:pPr>
        <w:ind w:left="567"/>
        <w:jc w:val="both"/>
        <w:rPr>
          <w:sz w:val="22"/>
          <w:szCs w:val="22"/>
        </w:rPr>
      </w:pPr>
      <w:r>
        <w:rPr>
          <w:sz w:val="22"/>
          <w:szCs w:val="22"/>
        </w:rPr>
        <w:t>Faiz oranı riski politikasına yönelik olarak Banka</w:t>
      </w:r>
      <w:r>
        <w:rPr>
          <w:sz w:val="22"/>
          <w:szCs w:val="22"/>
        </w:rPr>
        <w:t>’</w:t>
      </w:r>
      <w:r>
        <w:rPr>
          <w:sz w:val="22"/>
          <w:szCs w:val="22"/>
        </w:rPr>
        <w:t xml:space="preserve">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w:t>
      </w:r>
      <w:r>
        <w:rPr>
          <w:sz w:val="22"/>
          <w:szCs w:val="22"/>
        </w:rPr>
        <w:t xml:space="preserve">verilen </w:t>
      </w:r>
      <w:r>
        <w:rPr>
          <w:sz w:val="22"/>
          <w:szCs w:val="22"/>
        </w:rPr>
        <w:t>kredilere ilişkin olarak faiz, para cinsi ve vade uyumuna titizlikle riayet edilmektedir. Hemen hemen tamamı değişken faizli borçlanmalarla finanse edilen kredi portföyünde, kaynak ve kullanımlar arasında sağlanan bu uyum nedeniyle faiz değişiklikleri kaynaklı faiz riski yaşanması muhtemel görülmemektedir. Zira portföy içinde yer alan diğer kredilerin kaynağını ise Bankanın özkaynakları oluşturmaktadır.</w:t>
      </w:r>
    </w:p>
    <w:p>
      <w:pPr>
        <w:ind w:left="567"/>
        <w:jc w:val="both"/>
        <w:rPr>
          <w:sz w:val="22"/>
          <w:szCs w:val="22"/>
        </w:rPr>
      </w:pPr>
    </w:p>
    <w:p>
      <w:pPr>
        <w:pStyle w:val="BodyText2"/>
        <w:ind w:left="567"/>
        <w:rPr>
          <w:sz w:val="22"/>
          <w:szCs w:val="22"/>
        </w:rPr>
      </w:pPr>
      <w:r>
        <w:rPr>
          <w:sz w:val="22"/>
          <w:szCs w:val="22"/>
        </w:rPr>
        <w:t>Banka</w:t>
      </w:r>
      <w:r>
        <w:rPr>
          <w:sz w:val="22"/>
          <w:szCs w:val="22"/>
        </w:rPr>
        <w:t>’</w:t>
      </w:r>
      <w:r>
        <w:rPr>
          <w:sz w:val="22"/>
          <w:szCs w:val="22"/>
        </w:rPr>
        <w:t>nın faiz oranı riski politikasının temel ilkesi ç</w:t>
      </w:r>
      <w:r>
        <w:rPr>
          <w:sz w:val="22"/>
          <w:szCs w:val="22"/>
        </w:rPr>
        <w:t>erçevesinde, krediler dışındaki</w:t>
      </w:r>
      <w:r>
        <w:rPr>
          <w:sz w:val="22"/>
          <w:szCs w:val="22"/>
        </w:rPr>
        <w:t xml:space="preserve"> faize duyarlı varlıkların yönetiminde portföy dağılımının optimizasyonu ise; pozisyonların durasyonları ve cari faiz hadlerindeki muhtemel değişim</w:t>
      </w:r>
      <w:r>
        <w:rPr>
          <w:sz w:val="22"/>
          <w:szCs w:val="22"/>
        </w:rPr>
        <w:t xml:space="preserve">ler göz önünde bulundurularak, </w:t>
      </w:r>
      <w:r>
        <w:rPr>
          <w:sz w:val="22"/>
          <w:szCs w:val="22"/>
        </w:rPr>
        <w:t>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w:t>
      </w:r>
      <w:r>
        <w:rPr>
          <w:sz w:val="22"/>
          <w:szCs w:val="22"/>
        </w:rPr>
        <w:t>a</w:t>
      </w:r>
      <w:r>
        <w:rPr>
          <w:sz w:val="22"/>
          <w:szCs w:val="22"/>
        </w:rPr>
        <w:t xml:space="preserve"> yönelik olarak da faiz duyarlılığı analizleri yapılmaktadır.</w:t>
      </w:r>
    </w:p>
    <w:p>
      <w:pPr>
        <w:pStyle w:val="BodyText2"/>
        <w:ind w:left="567"/>
        <w:rPr>
          <w:sz w:val="22"/>
          <w:szCs w:val="22"/>
        </w:rPr>
      </w:pPr>
    </w:p>
    <w:p>
      <w:pPr>
        <w:ind w:left="567"/>
        <w:jc w:val="both"/>
      </w:pPr>
      <w:r>
        <w:rPr>
          <w:sz w:val="22"/>
          <w:szCs w:val="22"/>
        </w:rPr>
        <w:t>Piyasa faiz oranlarındaki değişimin Banka finansal yapısında olumsuz etkiler ortaya çıkarma ihtimalini minimize etmek için ise, faiz riski yönetimine ilişkin olarak risk yönetimi politikaları çerçevesinde, Aktif Pasif Komitesi tarafından belirlenmiş ve Yönetim Kurulu tarafından onaylanmış risk limitleri kullanılmakta, Bankanın faize duyarlı varlıklarının limitler dahilinde olup olmadığı izlenmekte ve kontrol edilmektedir. Faiz riskine ilişkin yasal raporlamalarda standart metot kullanılmaktadır.</w:t>
      </w:r>
    </w:p>
    <w:p>
      <w:pPr>
        <w:ind w:left="567"/>
        <w:jc w:val="both"/>
        <w:rPr>
          <w:b/>
          <w:bCs/>
          <w:noProof/>
          <w:sz w:val="22"/>
          <w:szCs w:val="22"/>
        </w:rPr>
      </w:pPr>
      <w:r>
        <w:rPr>
          <w:b/>
          <w:bCs/>
          <w:noProof/>
          <w:sz w:val="22"/>
          <w:szCs w:val="22"/>
        </w:rPr>
        <w:br w:type="page"/>
      </w:r>
    </w:p>
    <w:p>
      <w:pPr>
        <w:pStyle w:val="Heading2"/>
        <w:spacing w:before="0"/>
        <w:ind w:left="720"/>
        <w:jc w:val="both"/>
        <w:rPr>
          <w:rFonts w:ascii="Times New Roman" w:hAnsi="Times New Roman"/>
          <w:i w:val="0"/>
          <w:sz w:val="22"/>
          <w:szCs w:val="22"/>
        </w:rPr>
      </w:pPr>
    </w:p>
    <w:p>
      <w:pPr>
        <w:pStyle w:val="Heading2"/>
        <w:numPr>
          <w:ilvl w:val="0"/>
          <w:numId w:val="1"/>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ind w:left="567"/>
        <w:jc w:val="both"/>
        <w:rPr>
          <w:b/>
          <w:bCs/>
          <w:noProof/>
          <w:sz w:val="22"/>
          <w:szCs w:val="22"/>
        </w:rPr>
      </w:pPr>
    </w:p>
    <w:p>
      <w:pPr>
        <w:ind w:left="567"/>
        <w:jc w:val="both"/>
        <w:rPr>
          <w:noProof/>
          <w:sz w:val="22"/>
          <w:szCs w:val="22"/>
        </w:rPr>
      </w:pPr>
      <w:r>
        <w:rPr>
          <w:bCs/>
          <w:noProof/>
          <w:sz w:val="22"/>
          <w:szCs w:val="22"/>
        </w:rPr>
        <w:t>Varlıkların</w:t>
      </w:r>
      <w:r>
        <w:rPr>
          <w:bCs/>
          <w:noProof/>
          <w:sz w:val="22"/>
          <w:szCs w:val="22"/>
        </w:rPr>
        <w:t>,</w:t>
      </w:r>
      <w:r>
        <w:rPr>
          <w:bCs/>
          <w:noProof/>
          <w:sz w:val="22"/>
          <w:szCs w:val="22"/>
        </w:rPr>
        <w:t xml:space="preserve"> yükümlülüklerin ve nazım hesap kalemlerinin faize duyarlılığı</w:t>
      </w:r>
      <w:r>
        <w:rPr>
          <w:noProof/>
          <w:sz w:val="22"/>
          <w:szCs w:val="22"/>
        </w:rPr>
        <w:t xml:space="preserve"> </w:t>
      </w:r>
      <w:r>
        <w:rPr>
          <w:bCs/>
          <w:noProof/>
          <w:sz w:val="22"/>
          <w:szCs w:val="22"/>
        </w:rPr>
        <w:t>(Yeniden fiyatlandırmaya kalan süreler itibarıyla):</w:t>
      </w:r>
      <w:r>
        <w:rPr>
          <w:noProof/>
          <w:sz w:val="22"/>
          <w:szCs w:val="22"/>
        </w:rPr>
        <w:t xml:space="preserve"> </w:t>
      </w:r>
    </w:p>
    <w:p>
      <w:pPr>
        <w:pStyle w:val="BodyTextIndent2"/>
        <w:ind w:left="567" w:firstLine="0"/>
        <w:rPr>
          <w:b/>
          <w:bCs/>
          <w:noProof/>
          <w:sz w:val="22"/>
          <w:szCs w:val="22"/>
        </w:rPr>
      </w:pPr>
    </w:p>
    <w:tbl>
      <w:tblPr>
        <w:tblW w:w="9297" w:type="dxa"/>
        <w:tblInd w:w="637" w:type="dxa"/>
        <w:tblLayout w:type="fixed"/>
        <w:tblCellMar>
          <w:left w:w="70" w:type="dxa"/>
          <w:right w:w="70" w:type="dxa"/>
        </w:tblCellMar>
        <w:tblLook w:val="00A0"/>
      </w:tblPr>
      <w:tblGrid>
        <w:gridCol w:w="3288"/>
        <w:gridCol w:w="850"/>
        <w:gridCol w:w="851"/>
        <w:gridCol w:w="850"/>
        <w:gridCol w:w="851"/>
        <w:gridCol w:w="850"/>
        <w:gridCol w:w="850"/>
        <w:gridCol w:w="907"/>
      </w:tblGrid>
      <w:tr>
        <w:trPr>
          <w:trHeight w:val="48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Sonu (</w:t>
            </w:r>
            <w:r>
              <w:rPr>
                <w:b/>
                <w:bCs/>
                <w:sz w:val="18"/>
                <w:szCs w:val="18"/>
              </w:rPr>
              <w:t>30.06</w:t>
            </w:r>
            <w:r>
              <w:rPr>
                <w:b/>
                <w:bCs/>
                <w:sz w:val="18"/>
                <w:szCs w:val="18"/>
              </w:rPr>
              <w:t>.20</w:t>
            </w:r>
            <w:r>
              <w:rPr>
                <w:b/>
                <w:bCs/>
                <w:sz w:val="18"/>
                <w:szCs w:val="18"/>
              </w:rPr>
              <w:t>1</w:t>
            </w:r>
            <w:r>
              <w:rPr>
                <w:b/>
                <w:bCs/>
                <w:sz w:val="18"/>
                <w:szCs w:val="18"/>
              </w:rPr>
              <w:t>1</w:t>
            </w:r>
            <w:r>
              <w:rPr>
                <w:b/>
                <w:bCs/>
                <w:sz w:val="18"/>
                <w:szCs w:val="18"/>
              </w:rPr>
              <w:t xml:space="preserve">)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51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ight="-65"/>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77</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155.21</w:t>
            </w:r>
            <w:r>
              <w:rPr>
                <w:sz w:val="18"/>
                <w:szCs w:val="18"/>
              </w:rPr>
              <w:t>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8.845</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164.063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w:t>
            </w:r>
            <w:r>
              <w:rPr>
                <w:sz w:val="18"/>
                <w:szCs w:val="18"/>
              </w:rPr>
              <w:t>842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12.270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30.502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13.339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61.953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40.903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9.235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36.426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46.354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4.760</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137.</w:t>
            </w:r>
            <w:r>
              <w:rPr>
                <w:sz w:val="18"/>
                <w:szCs w:val="18"/>
              </w:rPr>
              <w:t>678</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525.</w:t>
            </w:r>
            <w:r>
              <w:rPr>
                <w:sz w:val="18"/>
                <w:szCs w:val="18"/>
              </w:rPr>
              <w:t>495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260.</w:t>
            </w:r>
            <w:r>
              <w:rPr>
                <w:sz w:val="18"/>
                <w:szCs w:val="18"/>
              </w:rPr>
              <w:t>941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w:t>
            </w:r>
            <w:r>
              <w:rPr>
                <w:sz w:val="18"/>
                <w:szCs w:val="18"/>
              </w:rPr>
              <w:t>7.330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w:t>
            </w:r>
            <w:r>
              <w:rPr>
                <w:sz w:val="18"/>
                <w:szCs w:val="18"/>
              </w:rPr>
              <w:t>5.596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88.</w:t>
            </w:r>
            <w:r>
              <w:rPr>
                <w:sz w:val="18"/>
                <w:szCs w:val="18"/>
              </w:rPr>
              <w:t>119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31.619</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1.499.100</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49.719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703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58.071</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Varlıklar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78.4</w:t>
            </w:r>
            <w:r>
              <w:rPr>
                <w:sz w:val="18"/>
                <w:szCs w:val="18"/>
              </w:rPr>
              <w:t>2</w:t>
            </w:r>
            <w:r>
              <w:rPr>
                <w:sz w:val="18"/>
                <w:szCs w:val="18"/>
              </w:rPr>
              <w:t>6</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78.4</w:t>
            </w:r>
            <w:r>
              <w:rPr>
                <w:sz w:val="18"/>
                <w:szCs w:val="18"/>
              </w:rPr>
              <w:t>2</w:t>
            </w:r>
            <w:r>
              <w:rPr>
                <w:sz w:val="18"/>
                <w:szCs w:val="18"/>
              </w:rPr>
              <w:t>6</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777.</w:t>
            </w:r>
            <w:r>
              <w:rPr>
                <w:sz w:val="18"/>
                <w:szCs w:val="18"/>
              </w:rPr>
              <w:t>192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290.095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57</w:t>
            </w:r>
            <w:r>
              <w:rPr>
                <w:sz w:val="18"/>
                <w:szCs w:val="18"/>
              </w:rPr>
              <w:t>4.961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w:t>
            </w:r>
            <w:r>
              <w:rPr>
                <w:sz w:val="18"/>
                <w:szCs w:val="18"/>
              </w:rPr>
              <w:t>5.289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88.</w:t>
            </w:r>
            <w:r>
              <w:rPr>
                <w:sz w:val="18"/>
                <w:szCs w:val="18"/>
              </w:rPr>
              <w:t>119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123.7</w:t>
            </w:r>
            <w:r>
              <w:rPr>
                <w:sz w:val="18"/>
                <w:szCs w:val="18"/>
              </w:rPr>
              <w:t>2</w:t>
            </w:r>
            <w:r>
              <w:rPr>
                <w:sz w:val="18"/>
                <w:szCs w:val="18"/>
              </w:rPr>
              <w:t>7</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1.999.38</w:t>
            </w:r>
            <w:r>
              <w:rPr>
                <w:sz w:val="18"/>
                <w:szCs w:val="18"/>
              </w:rPr>
              <w:t>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75.129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75.129</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3.773</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3.773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454.840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365.303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472.184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62.635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12.562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1.367.524</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Yükümlülükler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968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w:t>
            </w:r>
            <w:r>
              <w:rPr>
                <w:sz w:val="18"/>
                <w:szCs w:val="18"/>
              </w:rPr>
              <w:t>20</w:t>
            </w:r>
            <w:r>
              <w:rPr>
                <w:sz w:val="18"/>
                <w:szCs w:val="18"/>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550.</w:t>
            </w:r>
            <w:r>
              <w:rPr>
                <w:sz w:val="18"/>
                <w:szCs w:val="18"/>
              </w:rPr>
              <w:t>788</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552.95</w:t>
            </w:r>
            <w:r>
              <w:rPr>
                <w:sz w:val="18"/>
                <w:szCs w:val="18"/>
              </w:rPr>
              <w:t>7</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530.937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366.504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472.184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62.635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12.562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554.56</w:t>
            </w:r>
            <w:r>
              <w:rPr>
                <w:sz w:val="18"/>
                <w:szCs w:val="18"/>
              </w:rPr>
              <w:t>1</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1.999.</w:t>
            </w:r>
            <w:r>
              <w:rPr>
                <w:sz w:val="18"/>
                <w:szCs w:val="18"/>
              </w:rPr>
              <w:t>38</w:t>
            </w:r>
            <w:r>
              <w:rPr>
                <w:sz w:val="18"/>
                <w:szCs w:val="18"/>
              </w:rPr>
              <w:t>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246.</w:t>
            </w:r>
            <w:r>
              <w:rPr>
                <w:sz w:val="18"/>
                <w:szCs w:val="18"/>
              </w:rPr>
              <w:t>25</w:t>
            </w:r>
            <w:r>
              <w:rPr>
                <w:sz w:val="18"/>
                <w:szCs w:val="18"/>
              </w:rPr>
              <w:t>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102.777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w:t>
            </w:r>
            <w:r>
              <w:rPr>
                <w:sz w:val="18"/>
                <w:szCs w:val="18"/>
              </w:rPr>
              <w:t>2</w:t>
            </w:r>
            <w:r>
              <w:rPr>
                <w:sz w:val="18"/>
                <w:szCs w:val="18"/>
              </w:rPr>
              <w:t>.</w:t>
            </w:r>
            <w:r>
              <w:rPr>
                <w:sz w:val="18"/>
                <w:szCs w:val="18"/>
              </w:rPr>
              <w:t>654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75.</w:t>
            </w:r>
            <w:r>
              <w:rPr>
                <w:sz w:val="18"/>
                <w:szCs w:val="18"/>
              </w:rPr>
              <w:t>557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507.</w:t>
            </w:r>
            <w:r>
              <w:rPr>
                <w:sz w:val="18"/>
                <w:szCs w:val="18"/>
              </w:rPr>
              <w:t>24</w:t>
            </w:r>
            <w:r>
              <w:rPr>
                <w:sz w:val="18"/>
                <w:szCs w:val="18"/>
              </w:rPr>
              <w:t>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w:t>
            </w:r>
            <w:r>
              <w:rPr>
                <w:sz w:val="18"/>
                <w:szCs w:val="18"/>
              </w:rPr>
              <w:t>409</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(430.83</w:t>
            </w:r>
            <w:r>
              <w:rPr>
                <w:sz w:val="18"/>
                <w:szCs w:val="18"/>
              </w:rPr>
              <w:t>4)</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(507.</w:t>
            </w:r>
            <w:r>
              <w:rPr>
                <w:sz w:val="18"/>
                <w:szCs w:val="18"/>
              </w:rPr>
              <w:t>24</w:t>
            </w:r>
            <w:r>
              <w:rPr>
                <w:sz w:val="18"/>
                <w:szCs w:val="18"/>
              </w:rPr>
              <w:t>3</w:t>
            </w: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246.255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(76.409)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102.777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82.654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75.557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(430.834)</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BodyTextIndent2"/>
        <w:ind w:left="567" w:firstLine="0"/>
        <w:rPr>
          <w:b/>
          <w:bCs/>
          <w:noProof/>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r>
      <w:r>
        <w:rPr>
          <w:rFonts w:eastAsia="Arial Unicode MS"/>
          <w:bCs/>
          <w:sz w:val="18"/>
          <w:szCs w:val="18"/>
        </w:rPr>
        <w:t xml:space="preserve">Takipteki kredilerin net bakiyesi </w:t>
      </w:r>
      <w:r>
        <w:rPr>
          <w:rFonts w:eastAsia="Arial Unicode MS"/>
          <w:bCs/>
          <w:sz w:val="18"/>
          <w:szCs w:val="18"/>
        </w:rPr>
        <w:t>verilen krediler</w:t>
      </w:r>
      <w:r>
        <w:rPr>
          <w:rFonts w:eastAsia="Arial Unicode MS"/>
          <w:bCs/>
          <w:sz w:val="18"/>
          <w:szCs w:val="18"/>
        </w:rPr>
        <w:t xml:space="preserve">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3</w:t>
      </w:r>
      <w:r>
        <w:rPr>
          <w:rFonts w:eastAsia="Arial Unicode MS"/>
          <w:bCs/>
          <w:sz w:val="18"/>
          <w:szCs w:val="18"/>
          <w:vertAlign w:val="superscript"/>
        </w:rPr>
        <w:t>)</w:t>
      </w:r>
      <w:r>
        <w:rPr>
          <w:rFonts w:eastAsia="Arial Unicode MS"/>
          <w:bCs/>
          <w:sz w:val="18"/>
          <w:szCs w:val="18"/>
        </w:rPr>
        <w:tab/>
      </w:r>
      <w:r>
        <w:rPr>
          <w:rFonts w:eastAsia="Arial Unicode MS"/>
          <w:bCs/>
          <w:sz w:val="18"/>
          <w:szCs w:val="18"/>
        </w:rPr>
        <w:t>Sermayede payı temsil eden menkul değerler ile yatırım fonları “Faizsiz” sütununda gösterilmiştir.</w:t>
      </w:r>
    </w:p>
    <w:p>
      <w:pPr>
        <w:tabs>
          <w:tab w:val="left" w:pos="1260"/>
        </w:tabs>
        <w:ind w:left="1260" w:hanging="693"/>
        <w:jc w:val="both"/>
        <w:rPr>
          <w:rFonts w:eastAsia="Arial Unicode MS"/>
          <w:bCs/>
          <w:sz w:val="12"/>
          <w:szCs w:val="12"/>
        </w:rPr>
      </w:pPr>
    </w:p>
    <w:p>
      <w:pPr>
        <w:tabs>
          <w:tab w:val="left" w:pos="1276"/>
        </w:tabs>
        <w:ind w:left="1260" w:hanging="693"/>
        <w:jc w:val="both"/>
        <w:rPr>
          <w:rFonts w:eastAsia="Arial Unicode MS"/>
          <w:bCs/>
          <w:sz w:val="18"/>
          <w:szCs w:val="18"/>
        </w:rPr>
      </w:pPr>
      <w:r>
        <w:rPr>
          <w:rFonts w:eastAsia="Arial Unicode MS"/>
          <w:bCs/>
          <w:sz w:val="18"/>
          <w:szCs w:val="18"/>
          <w:vertAlign w:val="superscript"/>
        </w:rPr>
        <w:t>(4)</w:t>
      </w:r>
      <w:r>
        <w:rPr>
          <w:rFonts w:eastAsia="Arial Unicode MS"/>
          <w:bCs/>
          <w:sz w:val="18"/>
          <w:szCs w:val="18"/>
        </w:rPr>
        <w:tab/>
        <w:t xml:space="preserve">Ertelenmiş vergi aktifi </w:t>
      </w:r>
      <w:r>
        <w:rPr>
          <w:rFonts w:eastAsia="Arial Unicode MS"/>
          <w:bCs/>
          <w:sz w:val="18"/>
          <w:szCs w:val="18"/>
        </w:rPr>
        <w:t>ve özkaynaklar ile faiz içermeyen diğer aktif ve pasif kalemleri “Faizsiz” sütununda gösterilmiştir.</w:t>
      </w:r>
    </w:p>
    <w:p>
      <w:pPr>
        <w:pStyle w:val="Heading2"/>
        <w:spacing w:before="0"/>
        <w:ind w:left="567" w:hanging="567"/>
        <w:jc w:val="both"/>
        <w:rPr>
          <w:rFonts w:ascii="Times New Roman" w:hAnsi="Times New Roman"/>
          <w:i w:val="0"/>
          <w:sz w:val="22"/>
          <w:szCs w:val="22"/>
        </w:rPr>
      </w:pPr>
      <w:r>
        <w:rPr>
          <w:rFonts w:ascii="Times New Roman" w:hAnsi="Times New Roman"/>
          <w:sz w:val="22"/>
          <w:szCs w:val="22"/>
        </w:rPr>
        <w:br w:type="page"/>
      </w:r>
    </w:p>
    <w:p>
      <w:pPr>
        <w:pStyle w:val="Heading2"/>
        <w:spacing w:before="0"/>
        <w:ind w:left="720"/>
        <w:jc w:val="both"/>
        <w:rPr>
          <w:rFonts w:ascii="Times New Roman" w:hAnsi="Times New Roman"/>
          <w:i w:val="0"/>
          <w:sz w:val="22"/>
          <w:szCs w:val="22"/>
        </w:rPr>
      </w:pPr>
    </w:p>
    <w:p>
      <w:pPr>
        <w:pStyle w:val="Heading2"/>
        <w:numPr>
          <w:ilvl w:val="0"/>
          <w:numId w:val="40"/>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rPr>
          <w:b/>
          <w:bCs/>
        </w:rPr>
      </w:pPr>
    </w:p>
    <w:p>
      <w:pPr>
        <w:ind w:firstLine="567"/>
        <w:rPr>
          <w:b/>
          <w:bCs/>
          <w:sz w:val="22"/>
          <w:szCs w:val="22"/>
        </w:rPr>
      </w:pPr>
      <w:r>
        <w:rPr>
          <w:b/>
          <w:bCs/>
          <w:sz w:val="22"/>
          <w:szCs w:val="22"/>
        </w:rPr>
        <w:t>Parasal finansal araçlara uygulanan ortalama faiz oranları</w:t>
      </w:r>
      <w:r>
        <w:rPr>
          <w:b/>
          <w:bCs/>
          <w:sz w:val="22"/>
          <w:szCs w:val="22"/>
        </w:rPr>
        <w:t xml:space="preserve"> </w:t>
      </w:r>
      <w:r>
        <w:rPr>
          <w:b/>
          <w:bCs/>
          <w:sz w:val="22"/>
          <w:szCs w:val="22"/>
        </w:rPr>
        <w:t>(%):</w:t>
      </w:r>
    </w:p>
    <w:p>
      <w:pPr>
        <w:rPr>
          <w:b/>
          <w:bCs/>
          <w:sz w:val="22"/>
          <w:szCs w:val="22"/>
        </w:rPr>
      </w:pPr>
    </w:p>
    <w:tbl>
      <w:tblPr>
        <w:tblW w:w="9287" w:type="dxa"/>
        <w:tblInd w:w="637" w:type="dxa"/>
        <w:tblLayout w:type="fixed"/>
        <w:tblCellMar>
          <w:left w:w="70" w:type="dxa"/>
          <w:right w:w="70" w:type="dxa"/>
        </w:tblCellMar>
        <w:tblLook w:val="00A0"/>
      </w:tblPr>
      <w:tblGrid>
        <w:gridCol w:w="6096"/>
        <w:gridCol w:w="851"/>
        <w:gridCol w:w="850"/>
        <w:gridCol w:w="770"/>
        <w:gridCol w:w="720"/>
      </w:tblGrid>
      <w:tr>
        <w:trPr>
          <w:cantSplit/>
          <w:trHeight w:val="372"/>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b/>
                <w:bCs/>
                <w:sz w:val="18"/>
                <w:szCs w:val="18"/>
              </w:rPr>
            </w:pPr>
            <w:r>
              <w:rPr>
                <w:b/>
                <w:bCs/>
                <w:sz w:val="18"/>
                <w:szCs w:val="18"/>
              </w:rPr>
              <w:t>Cari Dönem Sonu (3</w:t>
            </w:r>
            <w:r>
              <w:rPr>
                <w:b/>
                <w:bCs/>
                <w:sz w:val="18"/>
                <w:szCs w:val="18"/>
              </w:rPr>
              <w:t>0</w:t>
            </w:r>
            <w:r>
              <w:rPr>
                <w:b/>
                <w:bCs/>
                <w:sz w:val="18"/>
                <w:szCs w:val="18"/>
              </w:rPr>
              <w:t>.</w:t>
            </w:r>
            <w:r>
              <w:rPr>
                <w:b/>
                <w:bCs/>
                <w:sz w:val="18"/>
                <w:szCs w:val="18"/>
              </w:rPr>
              <w:t>0</w:t>
            </w:r>
            <w:r>
              <w:rPr>
                <w:b/>
                <w:bCs/>
                <w:sz w:val="18"/>
                <w:szCs w:val="18"/>
              </w:rPr>
              <w:t>6</w:t>
            </w:r>
            <w:r>
              <w:rPr>
                <w:b/>
                <w:bCs/>
                <w:sz w:val="18"/>
                <w:szCs w:val="18"/>
              </w:rPr>
              <w:t>.201</w:t>
            </w:r>
            <w:r>
              <w:rPr>
                <w:b/>
                <w:bCs/>
                <w:sz w:val="18"/>
                <w:szCs w:val="18"/>
              </w:rPr>
              <w:t>1</w:t>
            </w:r>
            <w:r>
              <w:rPr>
                <w:b/>
                <w:bCs/>
                <w:sz w:val="18"/>
                <w:szCs w:val="18"/>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trHeight w:val="255"/>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Varlıklar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8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Nakit Değerler (Kasa, Efektif Deposu, Yoldaki Paralar, Satın Alınan Çekler) ve TCMB</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7,85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8,36</w:t>
            </w: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7,56</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2,90</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10,86</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8,49</w:t>
            </w: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6,25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70"/>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Kuruluşlardan Sağlanan Fonlar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1,87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0,84 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6,73</w:t>
            </w:r>
            <w:r>
              <w:rPr>
                <w:sz w:val="18"/>
                <w:szCs w:val="18"/>
              </w:rPr>
              <w:t> </w:t>
            </w:r>
          </w:p>
        </w:tc>
      </w:tr>
    </w:tbl>
    <w:p>
      <w:pPr>
        <w:jc w:val="both"/>
        <w:rPr>
          <w:b/>
          <w:bCs/>
          <w:sz w:val="10"/>
          <w:szCs w:val="10"/>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jc w:val="both"/>
        <w:rPr>
          <w:bCs/>
          <w:sz w:val="18"/>
          <w:szCs w:val="18"/>
        </w:rPr>
      </w:pPr>
    </w:p>
    <w:p>
      <w:pPr>
        <w:pStyle w:val="Heading2"/>
        <w:tabs>
          <w:tab w:val="left" w:pos="567"/>
        </w:tabs>
        <w:spacing w:before="0"/>
        <w:ind w:left="567" w:hanging="567"/>
        <w:jc w:val="both"/>
        <w:rPr>
          <w:rFonts w:ascii="Times New Roman" w:hAnsi="Times New Roman"/>
          <w:i w:val="0"/>
          <w:sz w:val="22"/>
          <w:szCs w:val="22"/>
        </w:rPr>
      </w:pPr>
    </w:p>
    <w:p>
      <w:pPr>
        <w:pStyle w:val="Heading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br w:type="page"/>
      </w:r>
    </w:p>
    <w:p>
      <w:pPr>
        <w:pStyle w:val="Heading2"/>
        <w:tabs>
          <w:tab w:val="left" w:pos="567"/>
        </w:tabs>
        <w:spacing w:before="0"/>
        <w:ind w:left="720"/>
        <w:jc w:val="both"/>
        <w:rPr>
          <w:rFonts w:ascii="Times New Roman" w:hAnsi="Times New Roman"/>
          <w:i w:val="0"/>
          <w:sz w:val="22"/>
          <w:szCs w:val="22"/>
        </w:rPr>
      </w:pPr>
    </w:p>
    <w:p>
      <w:pPr>
        <w:pStyle w:val="Heading2"/>
        <w:numPr>
          <w:ilvl w:val="0"/>
          <w:numId w:val="41"/>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z w:val="22"/>
          <w:szCs w:val="22"/>
        </w:rPr>
      </w:pPr>
    </w:p>
    <w:p>
      <w:pPr>
        <w:ind w:left="567"/>
        <w:jc w:val="both"/>
        <w:rPr>
          <w:b/>
          <w:bCs/>
          <w:sz w:val="22"/>
          <w:szCs w:val="22"/>
        </w:rPr>
      </w:pPr>
      <w:r>
        <w:rPr>
          <w:b/>
          <w:bCs/>
          <w:sz w:val="22"/>
          <w:szCs w:val="22"/>
        </w:rPr>
        <w:t>Varlıkların</w:t>
      </w:r>
      <w:r>
        <w:rPr>
          <w:b/>
          <w:bCs/>
          <w:sz w:val="22"/>
          <w:szCs w:val="22"/>
        </w:rPr>
        <w:t>,</w:t>
      </w:r>
      <w:r>
        <w:rPr>
          <w:b/>
          <w:bCs/>
          <w:sz w:val="22"/>
          <w:szCs w:val="22"/>
        </w:rPr>
        <w:t xml:space="preserve"> yükümlülüklerin ve nazım hesap kalemlerinin faize duyarlılığı (Yeniden fiyatlandı</w:t>
      </w:r>
      <w:r>
        <w:rPr>
          <w:b/>
          <w:bCs/>
          <w:sz w:val="22"/>
          <w:szCs w:val="22"/>
        </w:rPr>
        <w:t>rmaya kalan süreler itibarıyla):</w:t>
      </w:r>
    </w:p>
    <w:p>
      <w:pPr>
        <w:jc w:val="both"/>
        <w:rPr>
          <w:b/>
          <w:bCs/>
        </w:rPr>
      </w:pPr>
    </w:p>
    <w:tbl>
      <w:tblPr>
        <w:tblW w:w="9216" w:type="dxa"/>
        <w:tblInd w:w="637" w:type="dxa"/>
        <w:tblLayout w:type="fixed"/>
        <w:tblCellMar>
          <w:left w:w="70" w:type="dxa"/>
          <w:right w:w="70" w:type="dxa"/>
        </w:tblCellMar>
        <w:tblLook w:val="00A0"/>
      </w:tblPr>
      <w:tblGrid>
        <w:gridCol w:w="3288"/>
        <w:gridCol w:w="850"/>
        <w:gridCol w:w="850"/>
        <w:gridCol w:w="850"/>
        <w:gridCol w:w="850"/>
        <w:gridCol w:w="794"/>
        <w:gridCol w:w="850"/>
        <w:gridCol w:w="884"/>
      </w:tblGrid>
      <w:tr>
        <w:trPr>
          <w:trHeight w:val="45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79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88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9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119</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132</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100.194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20.024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5.841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126.059</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3.940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8.933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32.575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3.585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49.033</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43.767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16.307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16.204</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4.813</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122.997</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328.227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274.394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368.863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95.726</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27.522</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1.178.241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29.925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11.876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9.610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51.411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69.328</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69.328</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506.066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311.510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472.978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115.515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107.623</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335</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3.536</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3.536</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374.379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1.047.679</w:t>
            </w:r>
          </w:p>
        </w:tc>
      </w:tr>
      <w:tr>
        <w:trPr>
          <w:trHeight w:val="29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Yükümlülükler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545.651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545.651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374.714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549.234</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jc w:val="both"/>
        <w:rPr>
          <w:b/>
          <w:bCs/>
          <w:snapToGrid w:val="0"/>
          <w:sz w:val="22"/>
          <w:szCs w:val="2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w:t>
      </w: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(2)</w:t>
      </w:r>
      <w:r>
        <w:rPr>
          <w:rFonts w:eastAsia="Arial Unicode MS"/>
          <w:bCs/>
          <w:sz w:val="18"/>
          <w:szCs w:val="18"/>
        </w:rPr>
        <w:tab/>
        <w:t>Takipteki kredilerin net bakiyesi verilen krediler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(3)</w:t>
      </w:r>
      <w:r>
        <w:rPr>
          <w:rFonts w:eastAsia="Arial Unicode MS"/>
          <w:bCs/>
          <w:sz w:val="18"/>
          <w:szCs w:val="18"/>
        </w:rPr>
        <w:tab/>
        <w:t>Sermayede payı temsil eden menkul değerler ile yatırım fonları “Faizsiz” sütununda gösterilmiştir.</w:t>
      </w:r>
    </w:p>
    <w:p>
      <w:pPr>
        <w:ind w:left="900" w:hanging="333"/>
        <w:jc w:val="both"/>
        <w:rPr>
          <w:sz w:val="18"/>
          <w:szCs w:val="18"/>
          <w:vertAlign w:val="superscript"/>
        </w:rPr>
      </w:pPr>
    </w:p>
    <w:p>
      <w:pPr>
        <w:tabs>
          <w:tab w:val="left" w:pos="1276"/>
        </w:tabs>
        <w:ind w:left="1276" w:hanging="709"/>
        <w:rPr>
          <w:b/>
          <w:bCs/>
          <w:snapToGrid w:val="0"/>
          <w:sz w:val="22"/>
          <w:szCs w:val="22"/>
        </w:rPr>
      </w:pPr>
      <w:r>
        <w:rPr>
          <w:sz w:val="18"/>
          <w:szCs w:val="18"/>
          <w:vertAlign w:val="superscript"/>
        </w:rPr>
        <w:t xml:space="preserve"> (4</w:t>
      </w:r>
      <w:r>
        <w:rPr>
          <w:sz w:val="18"/>
          <w:szCs w:val="18"/>
          <w:vertAlign w:val="superscript"/>
        </w:rPr>
        <w:t>)</w:t>
      </w:r>
      <w:r>
        <w:rPr>
          <w:sz w:val="18"/>
          <w:szCs w:val="18"/>
          <w:vertAlign w:val="superscript"/>
        </w:rPr>
        <w:tab/>
      </w:r>
      <w:r>
        <w:rPr>
          <w:sz w:val="18"/>
          <w:szCs w:val="18"/>
          <w:vertAlign w:val="superscript"/>
        </w:rPr>
        <w:t xml:space="preserve"> </w:t>
      </w:r>
      <w:r>
        <w:rPr>
          <w:rFonts w:eastAsia="Arial Unicode MS"/>
          <w:bCs/>
          <w:sz w:val="18"/>
          <w:szCs w:val="18"/>
        </w:rPr>
        <w:t>Ertelenmiş vergi aktifi ve özkaynaklar ile faiz içermeyen diğer aktif ve pasif kalemleri “faizsiz” sütununda gösterilmiştir.</w:t>
      </w:r>
      <w:r>
        <w:rPr>
          <w:sz w:val="22"/>
          <w:szCs w:val="22"/>
        </w:rPr>
        <w:br w:type="page"/>
      </w:r>
    </w:p>
    <w:p>
      <w:pPr>
        <w:pStyle w:val="Heading2"/>
        <w:tabs>
          <w:tab w:val="left" w:pos="567"/>
        </w:tabs>
        <w:spacing w:before="0"/>
        <w:ind w:left="720"/>
        <w:jc w:val="both"/>
        <w:rPr>
          <w:rFonts w:ascii="Times New Roman" w:hAnsi="Times New Roman"/>
          <w:i w:val="0"/>
          <w:sz w:val="22"/>
          <w:szCs w:val="22"/>
        </w:rPr>
      </w:pPr>
    </w:p>
    <w:p>
      <w:pPr>
        <w:pStyle w:val="Heading2"/>
        <w:numPr>
          <w:ilvl w:val="0"/>
          <w:numId w:val="42"/>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napToGrid w:val="0"/>
          <w:sz w:val="22"/>
          <w:szCs w:val="22"/>
        </w:rPr>
      </w:pPr>
    </w:p>
    <w:p>
      <w:pPr>
        <w:ind w:firstLine="567"/>
        <w:jc w:val="both"/>
        <w:rPr>
          <w:b/>
          <w:bCs/>
          <w:snapToGrid w:val="0"/>
          <w:sz w:val="22"/>
          <w:szCs w:val="22"/>
        </w:rPr>
      </w:pPr>
      <w:r>
        <w:rPr>
          <w:b/>
          <w:bCs/>
          <w:snapToGrid w:val="0"/>
          <w:sz w:val="22"/>
          <w:szCs w:val="22"/>
        </w:rPr>
        <w:t>Parasal finansal araçlara uygulanan ortalama faiz oranları (%):</w:t>
      </w:r>
    </w:p>
    <w:p>
      <w:pPr>
        <w:jc w:val="both"/>
        <w:rPr>
          <w:sz w:val="16"/>
          <w:szCs w:val="16"/>
        </w:rPr>
      </w:pPr>
    </w:p>
    <w:tbl>
      <w:tblPr>
        <w:tblW w:w="9246" w:type="dxa"/>
        <w:tblInd w:w="637" w:type="dxa"/>
        <w:tblLayout w:type="fixed"/>
        <w:tblCellMar>
          <w:left w:w="70" w:type="dxa"/>
          <w:right w:w="70" w:type="dxa"/>
        </w:tblCellMar>
        <w:tblLook w:val="00A0"/>
      </w:tblPr>
      <w:tblGrid>
        <w:gridCol w:w="5954"/>
        <w:gridCol w:w="850"/>
        <w:gridCol w:w="851"/>
        <w:gridCol w:w="850"/>
        <w:gridCol w:w="741"/>
      </w:tblGrid>
      <w:tr>
        <w:trPr>
          <w:cantSplit/>
          <w:trHeight w:val="255"/>
        </w:trPr>
        <w:tc>
          <w:tcPr>
            <w:tcW w:w="5954" w:type="dxa"/>
            <w:vMerge w:val="restart"/>
            <w:tcBorders>
              <w:top w:val="single" w:sz="4" w:space="0" w:color="auto"/>
              <w:left w:val="single" w:sz="4" w:space="0" w:color="auto"/>
              <w:right w:val="single" w:sz="4" w:space="0" w:color="auto"/>
            </w:tcBorders>
            <w:shd w:val="clear" w:color="000000" w:fill="FFFFFF"/>
            <w:vAlign w:val="bottom"/>
          </w:tcPr>
          <w:p>
            <w:pPr>
              <w:jc w:val="both"/>
              <w:rPr>
                <w:b/>
                <w:bCs/>
                <w:sz w:val="18"/>
                <w:szCs w:val="18"/>
              </w:rPr>
            </w:pPr>
            <w:r>
              <w:rPr>
                <w:b/>
                <w:bCs/>
                <w:sz w:val="18"/>
                <w:szCs w:val="18"/>
              </w:rPr>
              <w:t> </w:t>
            </w:r>
          </w:p>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4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cantSplit/>
          <w:trHeight w:val="255"/>
        </w:trPr>
        <w:tc>
          <w:tcPr>
            <w:tcW w:w="5954" w:type="dxa"/>
            <w:vMerge/>
            <w:tcBorders>
              <w:left w:val="single" w:sz="4" w:space="0" w:color="auto"/>
              <w:bottom w:val="single" w:sz="4" w:space="0" w:color="auto"/>
              <w:right w:val="single" w:sz="4" w:space="0" w:color="auto"/>
            </w:tcBorders>
            <w:vAlign w:val="bottom"/>
          </w:tcPr>
          <w:p>
            <w:pPr>
              <w:rPr>
                <w:b/>
                <w:bCs/>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Nakit Değerler (Kasa, Efektif Deposu, Yoldaki Paralar, Satın Alınan Çekler) ve T.C. Merkez 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7,40</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6,54</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6,76</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10,67</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8,76</w:t>
            </w: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Kuruluşlardan Sağlanan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6,69</w:t>
            </w:r>
          </w:p>
        </w:tc>
      </w:tr>
    </w:tbl>
    <w:p>
      <w:pPr>
        <w:jc w:val="both"/>
        <w:rPr>
          <w:bCs/>
          <w:sz w:val="18"/>
          <w:szCs w:val="18"/>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pStyle w:val="Heading2"/>
        <w:spacing w:before="0"/>
        <w:ind w:left="567" w:hanging="567"/>
        <w:jc w:val="both"/>
        <w:rPr>
          <w:rFonts w:ascii="Times New Roman" w:hAnsi="Times New Roman"/>
          <w:sz w:val="22"/>
          <w:szCs w:val="22"/>
        </w:rPr>
      </w:pPr>
    </w:p>
    <w:p>
      <w:pPr>
        <w:ind w:left="851" w:hanging="284"/>
        <w:jc w:val="both"/>
        <w:rPr>
          <w:sz w:val="12"/>
          <w:szCs w:val="12"/>
        </w:rPr>
      </w:pPr>
    </w:p>
    <w:p>
      <w:pPr>
        <w:spacing w:before="20"/>
        <w:jc w:val="both"/>
        <w:rPr>
          <w:sz w:val="22"/>
          <w:szCs w:val="22"/>
          <w:lang w:eastAsia="en-US"/>
        </w:rPr>
      </w:pPr>
      <w:r>
        <w:rPr>
          <w:lang w:eastAsia="en-US"/>
        </w:rPr>
        <w:br w:type="page"/>
      </w:r>
    </w:p>
    <w:p>
      <w:pPr>
        <w:pStyle w:val="Heading2"/>
        <w:spacing w:before="0"/>
        <w:ind w:left="720"/>
        <w:jc w:val="both"/>
        <w:rPr>
          <w:rFonts w:ascii="Times New Roman" w:hAnsi="Times New Roman"/>
          <w:i w:val="0"/>
          <w:sz w:val="22"/>
          <w:szCs w:val="22"/>
        </w:rPr>
      </w:pPr>
    </w:p>
    <w:p>
      <w:pPr>
        <w:pStyle w:val="Heading2"/>
        <w:numPr>
          <w:ilvl w:val="0"/>
          <w:numId w:val="1"/>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Likidite riskine ilişkin açıklamalar:</w:t>
      </w:r>
    </w:p>
    <w:p>
      <w:pPr>
        <w:pStyle w:val="1tipi"/>
        <w:tabs>
          <w:tab w:val="clear" w:pos="1134"/>
        </w:tabs>
        <w:ind w:left="567"/>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s>
        <w:ind w:left="567"/>
        <w:rPr>
          <w:rFonts w:ascii="Times New Roman" w:hAnsi="Times New Roman" w:cs="Times New Roman"/>
          <w:sz w:val="22"/>
          <w:szCs w:val="22"/>
        </w:rPr>
      </w:pPr>
      <w:r>
        <w:rPr>
          <w:rFonts w:ascii="Times New Roman" w:hAnsi="Times New Roman" w:cs="Times New Roman"/>
          <w:sz w:val="22"/>
          <w:szCs w:val="22"/>
        </w:rPr>
        <w:t>Banka</w:t>
      </w:r>
      <w:r>
        <w:rPr>
          <w:rFonts w:ascii="Times New Roman" w:hAnsi="Times New Roman" w:cs="Times New Roman"/>
          <w:sz w:val="22"/>
          <w:szCs w:val="22"/>
        </w:rPr>
        <w:t>’</w:t>
      </w:r>
      <w:r>
        <w:rPr>
          <w:rFonts w:ascii="Times New Roman" w:hAnsi="Times New Roman" w:cs="Times New Roman"/>
          <w:sz w:val="22"/>
          <w:szCs w:val="22"/>
        </w:rPr>
        <w:t>da likidite riski yönetimi; aktif ve pasif yapısının vadeleri itibariyle değerlendirilerek, öngörülebilen veriler üzerinden hazırlanan proforma nakit akımları tabloları kullanılarak gerçekleştirilmektedir. Proforma nakit akım tabloları gelecek dönemde ve/veya olağanüstü durumlarda gereksinim duyulacak likidite ihtiyacını (varsa), kullanılabilecek alternatif likidite kaynaklarını ve de plasman alanlarını belirlemeye yönelik bilgileri içermekte ve bu tablolara dayanılarak yapılan gelecek dönem projeksiyonlarında muhtemel nakit akışları tahmini yapılırken, farklı senaryolar kullanılarak (örneğin farklı kredi tahsilat rasyoları) Banka’nın maruz kalabileceği likidite riski ölçülmektedir.</w:t>
      </w:r>
    </w:p>
    <w:p>
      <w:pPr>
        <w:pStyle w:val="1tipi"/>
        <w:tabs>
          <w:tab w:val="clear" w:pos="1134"/>
        </w:tabs>
        <w:ind w:left="567"/>
        <w:rPr>
          <w:rFonts w:ascii="Times New Roman" w:hAnsi="Times New Roman" w:cs="Times New Roman"/>
          <w:sz w:val="22"/>
          <w:szCs w:val="22"/>
        </w:rPr>
      </w:pPr>
    </w:p>
    <w:p>
      <w:pPr>
        <w:ind w:left="567"/>
        <w:jc w:val="both"/>
        <w:rPr>
          <w:sz w:val="22"/>
          <w:szCs w:val="22"/>
        </w:rPr>
      </w:pPr>
      <w:r>
        <w:rPr>
          <w:sz w:val="22"/>
          <w:szCs w:val="22"/>
        </w:rPr>
        <w:t>Ayrıca orta-uzun vadeli yükümlülüklerin karşılanma oranlarına ilişkin aylık proforma nakit akımları ve bilanço durasyonu sürekli izlenerek risk yaratan unsurlar önceden tespit edilmeye çalışılmaktadır. Risk yaratan durumların ortaya çıkması halinde, giderilmesi yönünde ilgili bir</w:t>
      </w:r>
      <w:r>
        <w:rPr>
          <w:sz w:val="22"/>
          <w:szCs w:val="22"/>
        </w:rPr>
        <w:t>imlerce insiyatif alınmaktadır.</w:t>
      </w:r>
      <w:r>
        <w:rPr>
          <w:sz w:val="22"/>
          <w:szCs w:val="22"/>
        </w:rPr>
        <w:t xml:space="preserve"> Banka’nın finansal gücünü etkileyen parametrelerde yaşanacak olumsuz gelişmelerin, faaliyetlere ve piyasa risklerine etkisinin önceden değerlendirilebilmesi amacıyla stres testi uygulamalarının yapılması ve sonuçlarının Banka’nın stratejik karar alma sürecinde kullanılması esastır.</w:t>
      </w:r>
    </w:p>
    <w:p>
      <w:pPr>
        <w:ind w:left="567"/>
        <w:jc w:val="both"/>
        <w:rPr>
          <w:rFonts w:eastAsia="Arial Unicode MS"/>
          <w:sz w:val="22"/>
          <w:szCs w:val="22"/>
          <w:lang w:val="en-US" w:eastAsia="en-US"/>
        </w:rPr>
      </w:pPr>
    </w:p>
    <w:p>
      <w:pPr>
        <w:pStyle w:val="NormalWeb"/>
        <w:spacing w:before="0" w:beforeAutospacing="0" w:after="0" w:afterAutospacing="0"/>
        <w:ind w:left="567"/>
        <w:jc w:val="both"/>
        <w:rPr>
          <w:rFonts w:ascii="Times New Roman" w:cs="Times New Roman"/>
          <w:sz w:val="22"/>
          <w:szCs w:val="22"/>
        </w:rPr>
      </w:pPr>
      <w:r>
        <w:rPr>
          <w:rFonts w:ascii="Times New Roman" w:cs="Times New Roman"/>
          <w:sz w:val="22"/>
          <w:szCs w:val="22"/>
        </w:rPr>
        <w:t>K</w:t>
      </w:r>
      <w:r>
        <w:rPr>
          <w:rFonts w:ascii="Times New Roman" w:cs="Times New Roman"/>
          <w:sz w:val="22"/>
          <w:szCs w:val="22"/>
        </w:rPr>
        <w:t xml:space="preserve">ısa vadeli kaynaklarla, uzun vadeli kredi kullandırılmasından kaynaklanan yapısal sorun, finansal bir kriz ile birleştiğinde likidite riski en önemli risk faktörü olarak ortaya </w:t>
      </w:r>
      <w:r>
        <w:rPr>
          <w:rFonts w:ascii="Times New Roman" w:cs="Times New Roman"/>
          <w:sz w:val="22"/>
          <w:szCs w:val="22"/>
        </w:rPr>
        <w:t xml:space="preserve">çıkabilmektedir. </w:t>
      </w:r>
      <w:r>
        <w:rPr>
          <w:rFonts w:ascii="Times New Roman" w:cs="Times New Roman"/>
          <w:sz w:val="22"/>
          <w:szCs w:val="22"/>
        </w:rPr>
        <w:t>Banka’nın, kalkınma ve yatırım bankası olması ve buna bağlı olarak da mevduat kabul etmemesi, sistemdeki bankalardan farklı olarak, piyasadaki olumsuz gelişmeler neticesinde mevduat çekilmesi kaynaklı bir likidite kriziyle karşı karşıya kalma riskini ortadan kaldırmaktadır. Banka’nın varlık ve kaynak yapısına bakıldığında; alınan kredilerin yabancı finansal kuruluşlardan sağlanan orta uzun vadeli ve değişken faizli kredilerden oluştuğu ve bu fonların yeniden fiyatlama dönemi uyumu gözetilerek kullandırıldığı görülmektedir. Bilançonun ağırlıklı bölümünün kredilerden oluştuğu da göz önüne alındığında, faiz şoklarının karlılık üzerine etkisinin likit portföyüyle sınırlı kalacağı düşünülmektedir. Ayrıca, Banka’nın kaynakları içinde özkaynakların payının dolayısıyla serbest fonlarının yüksek olma</w:t>
      </w:r>
      <w:r>
        <w:rPr>
          <w:rFonts w:ascii="Times New Roman" w:cs="Times New Roman"/>
          <w:sz w:val="22"/>
          <w:szCs w:val="22"/>
        </w:rPr>
        <w:t xml:space="preserve">sı, likidite riski yönetiminde </w:t>
      </w:r>
      <w:r>
        <w:rPr>
          <w:rFonts w:ascii="Times New Roman" w:cs="Times New Roman"/>
          <w:sz w:val="22"/>
          <w:szCs w:val="22"/>
        </w:rPr>
        <w:t>Banka’yı avan</w:t>
      </w:r>
      <w:r>
        <w:rPr>
          <w:rFonts w:ascii="Times New Roman" w:cs="Times New Roman"/>
          <w:sz w:val="22"/>
          <w:szCs w:val="22"/>
        </w:rPr>
        <w:t>tajlı hale getirmektedir. Banka</w:t>
      </w:r>
      <w:r>
        <w:rPr>
          <w:rFonts w:ascii="Times New Roman" w:cs="Times New Roman"/>
          <w:sz w:val="22"/>
          <w:szCs w:val="22"/>
        </w:rPr>
        <w:t>’</w:t>
      </w:r>
      <w:r>
        <w:rPr>
          <w:rFonts w:ascii="Times New Roman" w:cs="Times New Roman"/>
          <w:sz w:val="22"/>
          <w:szCs w:val="22"/>
        </w:rPr>
        <w:t>da likidite yönetiminde, likidite fazlasının plasmanında vade/getiri, likidite ihtiyacının karşılanmasında ise vade/maliyet alternatiflerinin değerlendirilmesi temel esastır.</w:t>
      </w:r>
    </w:p>
    <w:p>
      <w:pPr>
        <w:pStyle w:val="NormalWeb"/>
        <w:spacing w:before="0" w:beforeAutospacing="0" w:after="0" w:afterAutospacing="0"/>
        <w:ind w:left="567"/>
        <w:jc w:val="both"/>
        <w:rPr>
          <w:rFonts w:ascii="Times New Roman" w:cs="Times New Roman"/>
          <w:sz w:val="22"/>
          <w:szCs w:val="22"/>
        </w:rPr>
      </w:pPr>
    </w:p>
    <w:p>
      <w:pPr>
        <w:spacing w:before="20"/>
        <w:ind w:left="567"/>
        <w:jc w:val="both"/>
        <w:rPr>
          <w:sz w:val="22"/>
          <w:szCs w:val="22"/>
          <w:lang w:eastAsia="en-US"/>
        </w:rPr>
      </w:pPr>
    </w:p>
    <w:p>
      <w:pPr>
        <w:pStyle w:val="NormalWeb"/>
        <w:spacing w:before="0" w:beforeAutospacing="0" w:after="0" w:afterAutospacing="0"/>
        <w:ind w:left="567"/>
        <w:rPr>
          <w:rFonts w:ascii="Times New Roman" w:cs="Times New Roman"/>
          <w:sz w:val="22"/>
          <w:szCs w:val="22"/>
          <w:lang w:val="tr-TR"/>
        </w:rPr>
      </w:pPr>
      <w:r>
        <w:rPr>
          <w:rFonts w:ascii="Times New Roman" w:cs="Times New Roman"/>
          <w:lang w:val="tr-TR"/>
        </w:rPr>
        <w:br w:type="page"/>
      </w:r>
    </w:p>
    <w:p>
      <w:pPr>
        <w:pStyle w:val="Heading2"/>
        <w:spacing w:before="0"/>
        <w:ind w:left="720"/>
        <w:jc w:val="both"/>
        <w:rPr>
          <w:rFonts w:ascii="Times New Roman" w:hAnsi="Times New Roman"/>
          <w:i w:val="0"/>
          <w:sz w:val="22"/>
          <w:szCs w:val="22"/>
        </w:rPr>
      </w:pPr>
    </w:p>
    <w:p>
      <w:pPr>
        <w:pStyle w:val="Heading2"/>
        <w:numPr>
          <w:ilvl w:val="0"/>
          <w:numId w:val="44"/>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w:t>
      </w:r>
      <w:r>
        <w:rPr>
          <w:rFonts w:ascii="Times New Roman" w:hAnsi="Times New Roman"/>
          <w:i w:val="0"/>
          <w:sz w:val="22"/>
          <w:szCs w:val="22"/>
        </w:rPr>
        <w:t>ikidite riskine ilişkin açıklamalar (devam ediyor):</w:t>
      </w:r>
    </w:p>
    <w:p>
      <w:pPr>
        <w:rPr>
          <w:lang w:eastAsia="en-US"/>
        </w:rPr>
      </w:pPr>
    </w:p>
    <w:p>
      <w:pPr>
        <w:pStyle w:val="NormalWeb"/>
        <w:spacing w:before="0" w:beforeAutospacing="0" w:after="0" w:afterAutospacing="0"/>
        <w:ind w:firstLine="567"/>
        <w:rPr>
          <w:rFonts w:ascii="Times New Roman" w:cs="Times New Roman"/>
          <w:b/>
          <w:bCs/>
          <w:sz w:val="22"/>
          <w:szCs w:val="22"/>
          <w:lang w:val="tr-TR"/>
        </w:rPr>
      </w:pPr>
      <w:r>
        <w:rPr>
          <w:rFonts w:ascii="Times New Roman" w:cs="Times New Roman"/>
          <w:b/>
          <w:bCs/>
          <w:sz w:val="22"/>
          <w:szCs w:val="22"/>
          <w:lang w:val="tr-TR"/>
        </w:rPr>
        <w:t>Aktif ve pasif kalemlerin vadelerine göre gösterimi;</w:t>
      </w:r>
    </w:p>
    <w:p>
      <w:pPr>
        <w:pStyle w:val="NormalWeb"/>
        <w:spacing w:before="0" w:beforeAutospacing="0" w:after="0" w:afterAutospacing="0"/>
        <w:rPr>
          <w:rFonts w:ascii="Times New Roman" w:cs="Times New Roman"/>
          <w:b/>
          <w:bCs/>
          <w:sz w:val="22"/>
          <w:szCs w:val="22"/>
          <w:lang w:val="tr-TR"/>
        </w:rPr>
      </w:pPr>
    </w:p>
    <w:tbl>
      <w:tblPr>
        <w:tblW w:w="10156" w:type="dxa"/>
        <w:tblInd w:w="65" w:type="dxa"/>
        <w:tblLayout w:type="fixed"/>
        <w:tblCellMar>
          <w:left w:w="70" w:type="dxa"/>
          <w:right w:w="70" w:type="dxa"/>
        </w:tblCellMar>
        <w:tblLook w:val="00A0"/>
      </w:tblPr>
      <w:tblGrid>
        <w:gridCol w:w="2835"/>
        <w:gridCol w:w="850"/>
        <w:gridCol w:w="998"/>
        <w:gridCol w:w="850"/>
        <w:gridCol w:w="850"/>
        <w:gridCol w:w="850"/>
        <w:gridCol w:w="850"/>
        <w:gridCol w:w="1166"/>
        <w:gridCol w:w="907"/>
      </w:tblGrid>
      <w:tr>
        <w:trPr>
          <w:trHeight w:val="450"/>
        </w:trPr>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Vadesiz</w:t>
            </w:r>
          </w:p>
        </w:tc>
        <w:tc>
          <w:tcPr>
            <w:tcW w:w="998"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5 Yıl ve Üzeri</w:t>
            </w:r>
          </w:p>
        </w:tc>
        <w:tc>
          <w:tcPr>
            <w:tcW w:w="1166" w:type="dxa"/>
            <w:tcBorders>
              <w:top w:val="single" w:sz="4" w:space="0" w:color="auto"/>
              <w:left w:val="nil"/>
              <w:bottom w:val="single" w:sz="4" w:space="0" w:color="auto"/>
              <w:right w:val="single" w:sz="4" w:space="0" w:color="auto"/>
            </w:tcBorders>
            <w:shd w:val="clear" w:color="000000" w:fill="FFFFFF"/>
            <w:vAlign w:val="bottom"/>
          </w:tcPr>
          <w:p>
            <w:pPr>
              <w:ind w:left="-70" w:right="-70"/>
              <w:jc w:val="right"/>
              <w:rPr>
                <w:b/>
                <w:bCs/>
                <w:sz w:val="18"/>
                <w:szCs w:val="18"/>
              </w:rPr>
            </w:pPr>
            <w:r>
              <w:rPr>
                <w:b/>
                <w:bCs/>
                <w:sz w:val="18"/>
                <w:szCs w:val="18"/>
              </w:rPr>
              <w:t>Dağıtıla</w:t>
            </w:r>
            <w:r>
              <w:rPr>
                <w:b/>
                <w:bCs/>
                <w:sz w:val="18"/>
                <w:szCs w:val="18"/>
              </w:rPr>
              <w:t>mayan</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Toplam</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w:t>
            </w:r>
            <w:r>
              <w:rPr>
                <w:b/>
                <w:bCs/>
                <w:sz w:val="18"/>
                <w:szCs w:val="18"/>
              </w:rPr>
              <w:t xml:space="preserve"> </w:t>
            </w:r>
            <w:r>
              <w:rPr>
                <w:b/>
                <w:bCs/>
                <w:sz w:val="18"/>
                <w:szCs w:val="18"/>
              </w:rPr>
              <w:t>(</w:t>
            </w:r>
            <w:r>
              <w:rPr>
                <w:b/>
                <w:bCs/>
                <w:sz w:val="18"/>
                <w:szCs w:val="18"/>
              </w:rPr>
              <w:t>30.06</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98"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1166"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98"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1166"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450"/>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Nakit Değerler (Kasa, Efektif Deposu, Yoldaki Paralar, Satın Alınan Çekler) ve TCMB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92</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8.845</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155.21</w:t>
            </w:r>
            <w:r>
              <w:rPr>
                <w:sz w:val="16"/>
                <w:szCs w:val="16"/>
              </w:rPr>
              <w:t>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164.063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Gerçeğe Uygun Değer Farkı Kar veya Zarara Yansıtılan Menkul Değer.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4.801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12.270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30.502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14.380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61.953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Satılmaya Hazır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4.760</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25.049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36.426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46.354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15.854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137.678</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Verilen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158.636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28.153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94.704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649.940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536.048</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31.619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1.499.100</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tabs>
                <w:tab w:val="left" w:pos="361"/>
              </w:tabs>
              <w:ind w:left="219"/>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20.343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7.649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703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9.201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20.175</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58.071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78.42</w:t>
            </w:r>
            <w:r>
              <w:rPr>
                <w:sz w:val="16"/>
                <w:szCs w:val="16"/>
              </w:rPr>
              <w:t>6</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78.42</w:t>
            </w:r>
            <w:r>
              <w:rPr>
                <w:sz w:val="16"/>
                <w:szCs w:val="16"/>
              </w:rPr>
              <w:t>6</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 xml:space="preserve">Toplam </w:t>
            </w:r>
            <w:r>
              <w:rPr>
                <w:sz w:val="18"/>
                <w:szCs w:val="18"/>
              </w:rPr>
              <w:t>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13.697</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364.047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57.307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162.335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719.875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572.077</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110.04</w:t>
            </w:r>
            <w:r>
              <w:rPr>
                <w:sz w:val="16"/>
                <w:szCs w:val="16"/>
              </w:rPr>
              <w:t>5</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1.999.38</w:t>
            </w:r>
            <w:r>
              <w:rPr>
                <w:sz w:val="16"/>
                <w:szCs w:val="16"/>
              </w:rPr>
              <w:t>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Mali Kuruluşlar. Sağl.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128.983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12.447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54.351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337.786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833.804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153</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1.367.524</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75.129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75.129</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3.773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3.773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1.20</w:t>
            </w:r>
            <w:r>
              <w:rPr>
                <w:sz w:val="16"/>
                <w:szCs w:val="16"/>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55</w:t>
            </w:r>
            <w:r>
              <w:rPr>
                <w:sz w:val="16"/>
                <w:szCs w:val="16"/>
              </w:rPr>
              <w:t>1.756</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552.95</w:t>
            </w:r>
            <w:r>
              <w:rPr>
                <w:sz w:val="16"/>
                <w:szCs w:val="16"/>
              </w:rPr>
              <w:t>7</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3.773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204</w:t>
            </w:r>
            <w:r>
              <w:rPr>
                <w:sz w:val="16"/>
                <w:szCs w:val="16"/>
              </w:rPr>
              <w:t>.</w:t>
            </w:r>
            <w:r>
              <w:rPr>
                <w:sz w:val="16"/>
                <w:szCs w:val="16"/>
              </w:rPr>
              <w:t>112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13.64</w:t>
            </w:r>
            <w:r>
              <w:rPr>
                <w:sz w:val="16"/>
                <w:szCs w:val="16"/>
              </w:rPr>
              <w:t>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54.351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337.786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833.804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551</w:t>
            </w:r>
            <w:r>
              <w:rPr>
                <w:sz w:val="16"/>
                <w:szCs w:val="16"/>
              </w:rPr>
              <w:t>.</w:t>
            </w:r>
            <w:r>
              <w:rPr>
                <w:sz w:val="16"/>
                <w:szCs w:val="16"/>
              </w:rPr>
              <w:t>909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1.999.383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9.924</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159.935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43.659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107.984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382.089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(261.727)</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(441</w:t>
            </w:r>
            <w:r>
              <w:rPr>
                <w:sz w:val="16"/>
                <w:szCs w:val="16"/>
              </w:rPr>
              <w:t>.</w:t>
            </w:r>
            <w:r>
              <w:rPr>
                <w:sz w:val="16"/>
                <w:szCs w:val="16"/>
              </w:rPr>
              <w:t>864</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firstLine="77"/>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Aktifler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9.831</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160.682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130.144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189.095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579.164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430.726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97.559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3.536</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101.936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17.238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46.546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305.230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580.992</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541.723</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6.295</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58.746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112.906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142.549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273.934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(150.266)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(444.164)</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bl>
    <w:p>
      <w:pPr>
        <w:rPr>
          <w:noProof/>
          <w:sz w:val="16"/>
          <w:szCs w:val="16"/>
        </w:rPr>
      </w:pPr>
    </w:p>
    <w:p>
      <w:pPr>
        <w:ind w:left="709" w:hanging="426"/>
        <w:jc w:val="both"/>
        <w:rPr>
          <w:rFonts w:eastAsia="Arial Unicode MS"/>
          <w:bCs/>
          <w:sz w:val="18"/>
          <w:szCs w:val="18"/>
        </w:rPr>
      </w:pPr>
      <w:r>
        <w:rPr>
          <w:rFonts w:eastAsia="Arial Unicode MS"/>
          <w:bCs/>
          <w:sz w:val="18"/>
          <w:szCs w:val="18"/>
          <w:vertAlign w:val="superscript"/>
        </w:rPr>
        <w:t>(1</w:t>
      </w:r>
      <w:r>
        <w:rPr>
          <w:rFonts w:eastAsia="Arial Unicode MS"/>
          <w:bCs/>
          <w:sz w:val="18"/>
          <w:szCs w:val="18"/>
          <w:vertAlign w:val="superscript"/>
        </w:rPr>
        <w:t>)</w:t>
      </w:r>
      <w:r>
        <w:rPr>
          <w:rFonts w:eastAsia="Arial Unicode MS"/>
          <w:bCs/>
          <w:sz w:val="18"/>
          <w:szCs w:val="18"/>
        </w:rPr>
        <w:tab/>
        <w:t>Bilançoyu oluşturan aktif hesaplardan sabit kıymetler</w:t>
      </w:r>
      <w:r>
        <w:rPr>
          <w:rFonts w:eastAsia="Arial Unicode MS"/>
          <w:bCs/>
          <w:sz w:val="18"/>
          <w:szCs w:val="18"/>
        </w:rPr>
        <w:t>,</w:t>
      </w:r>
      <w:r>
        <w:rPr>
          <w:rFonts w:eastAsia="Arial Unicode MS"/>
          <w:bCs/>
          <w:sz w:val="18"/>
          <w:szCs w:val="18"/>
        </w:rPr>
        <w:t xml:space="preserve"> iştirak</w:t>
      </w:r>
      <w:r>
        <w:rPr>
          <w:rFonts w:eastAsia="Arial Unicode MS"/>
          <w:bCs/>
          <w:sz w:val="18"/>
          <w:szCs w:val="18"/>
        </w:rPr>
        <w:t>,</w:t>
      </w:r>
      <w:r>
        <w:rPr>
          <w:rFonts w:eastAsia="Arial Unicode MS"/>
          <w:bCs/>
          <w:sz w:val="18"/>
          <w:szCs w:val="18"/>
        </w:rPr>
        <w:t xml:space="preserve"> bağlı ortaklıklar</w:t>
      </w:r>
      <w:r>
        <w:rPr>
          <w:rFonts w:eastAsia="Arial Unicode MS"/>
          <w:bCs/>
          <w:sz w:val="18"/>
          <w:szCs w:val="18"/>
        </w:rPr>
        <w:t>,</w:t>
      </w:r>
      <w:r>
        <w:rPr>
          <w:rFonts w:eastAsia="Arial Unicode MS"/>
          <w:bCs/>
          <w:sz w:val="18"/>
          <w:szCs w:val="18"/>
        </w:rPr>
        <w:t xml:space="preserve"> ayniyat mevcudu</w:t>
      </w:r>
      <w:r>
        <w:rPr>
          <w:rFonts w:eastAsia="Arial Unicode MS"/>
          <w:bCs/>
          <w:sz w:val="18"/>
          <w:szCs w:val="18"/>
        </w:rPr>
        <w:t>,</w:t>
      </w:r>
      <w:r>
        <w:rPr>
          <w:rFonts w:eastAsia="Arial Unicode MS"/>
          <w:bCs/>
          <w:sz w:val="18"/>
          <w:szCs w:val="18"/>
        </w:rPr>
        <w:t xml:space="preserve"> peşin ödenmiş giderler ve net takipteki alacaklar gibi bankacılık faaliyetinin sürdürülmesi için gereksinim duyulan</w:t>
      </w:r>
      <w:r>
        <w:rPr>
          <w:rFonts w:eastAsia="Arial Unicode MS"/>
          <w:bCs/>
          <w:sz w:val="18"/>
          <w:szCs w:val="18"/>
        </w:rPr>
        <w:t>,</w:t>
      </w:r>
      <w:r>
        <w:rPr>
          <w:rFonts w:eastAsia="Arial Unicode MS"/>
          <w:bCs/>
          <w:sz w:val="18"/>
          <w:szCs w:val="18"/>
        </w:rPr>
        <w:t xml:space="preserve"> kısa zamanda nakde dönüşme şansı bulunmayan diğer aktif nitelikli hesaplar; bilançoyu oluşturan pasif hesaplardan ise </w:t>
      </w:r>
      <w:r>
        <w:rPr>
          <w:rFonts w:eastAsia="Arial Unicode MS"/>
          <w:bCs/>
          <w:sz w:val="18"/>
          <w:szCs w:val="18"/>
        </w:rPr>
        <w:t>belirli bir vadesi olmayan,</w:t>
      </w:r>
      <w:r>
        <w:rPr>
          <w:rFonts w:eastAsia="Arial Unicode MS"/>
          <w:bCs/>
          <w:sz w:val="18"/>
          <w:szCs w:val="18"/>
        </w:rPr>
        <w:t xml:space="preserve"> karşılıklar gibi diğer pasif hesaplar ve özkaynak toplamı </w:t>
      </w:r>
      <w:r>
        <w:rPr>
          <w:rFonts w:eastAsia="Arial Unicode MS"/>
          <w:bCs/>
          <w:sz w:val="18"/>
          <w:szCs w:val="18"/>
        </w:rPr>
        <w:t>dağıtılamayan</w:t>
      </w:r>
      <w:r>
        <w:rPr>
          <w:rFonts w:eastAsia="Arial Unicode MS"/>
          <w:bCs/>
          <w:sz w:val="18"/>
          <w:szCs w:val="18"/>
        </w:rPr>
        <w:t xml:space="preserve"> </w:t>
      </w:r>
      <w:r>
        <w:rPr>
          <w:rFonts w:eastAsia="Arial Unicode MS"/>
          <w:bCs/>
          <w:sz w:val="18"/>
          <w:szCs w:val="18"/>
        </w:rPr>
        <w:t xml:space="preserve">sütununda </w:t>
      </w:r>
      <w:r>
        <w:rPr>
          <w:rFonts w:eastAsia="Arial Unicode MS"/>
          <w:bCs/>
          <w:sz w:val="18"/>
          <w:szCs w:val="18"/>
        </w:rPr>
        <w:t xml:space="preserve">gösterilmektedir. </w:t>
      </w:r>
    </w:p>
    <w:p>
      <w:pPr>
        <w:ind w:left="709" w:hanging="426"/>
        <w:jc w:val="both"/>
        <w:rPr>
          <w:rFonts w:eastAsia="Arial Unicode MS"/>
          <w:bCs/>
          <w:sz w:val="12"/>
          <w:szCs w:val="12"/>
        </w:rPr>
      </w:pPr>
    </w:p>
    <w:p>
      <w:pPr>
        <w:ind w:left="709" w:hanging="426"/>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t>Ertelenmiş vergi aktifi dağıtılamayan kolonuna dahil edilmiştir.</w:t>
      </w:r>
    </w:p>
    <w:p>
      <w:pPr>
        <w:jc w:val="both"/>
        <w:rPr>
          <w:noProof/>
          <w:sz w:val="16"/>
          <w:szCs w:val="16"/>
        </w:rPr>
      </w:pPr>
    </w:p>
    <w:p>
      <w:pPr>
        <w:jc w:val="both"/>
      </w:pPr>
      <w:r>
        <w:rPr>
          <w:noProof/>
          <w:sz w:val="16"/>
          <w:szCs w:val="16"/>
        </w:rPr>
        <w:br w:type="page"/>
      </w:r>
    </w:p>
    <w:p>
      <w:pPr>
        <w:pStyle w:val="Heading2"/>
        <w:spacing w:before="0"/>
        <w:ind w:left="567"/>
        <w:jc w:val="center"/>
        <w:rPr>
          <w:rFonts w:ascii="Times New Roman" w:hAnsi="Times New Roman"/>
          <w:i w:val="0"/>
          <w:sz w:val="22"/>
          <w:szCs w:val="22"/>
        </w:rPr>
      </w:pPr>
    </w:p>
    <w:p>
      <w:pPr>
        <w:pStyle w:val="Heading2"/>
        <w:spacing w:before="0"/>
        <w:ind w:left="567"/>
        <w:jc w:val="center"/>
        <w:rPr>
          <w:rFonts w:ascii="Times New Roman" w:hAnsi="Times New Roman"/>
          <w:i w:val="0"/>
          <w:sz w:val="22"/>
          <w:szCs w:val="22"/>
        </w:rPr>
      </w:pPr>
      <w:r>
        <w:rPr>
          <w:rFonts w:ascii="Times New Roman" w:hAnsi="Times New Roman"/>
          <w:i w:val="0"/>
          <w:sz w:val="22"/>
          <w:szCs w:val="22"/>
        </w:rPr>
        <w:t>B</w:t>
      </w:r>
      <w:r>
        <w:rPr>
          <w:rFonts w:ascii="Times New Roman" w:hAnsi="Times New Roman"/>
          <w:i w:val="0"/>
          <w:sz w:val="22"/>
          <w:szCs w:val="22"/>
        </w:rPr>
        <w:t>EŞİNCİ BÖLÜ</w:t>
      </w:r>
      <w:r>
        <w:rPr>
          <w:rFonts w:ascii="Times New Roman" w:hAnsi="Times New Roman"/>
          <w:i w:val="0"/>
          <w:sz w:val="22"/>
          <w:szCs w:val="22"/>
        </w:rPr>
        <w:t>M</w:t>
      </w:r>
    </w:p>
    <w:p>
      <w:pPr>
        <w:pStyle w:val="Heading2"/>
        <w:spacing w:before="0"/>
        <w:ind w:left="567"/>
        <w:jc w:val="center"/>
        <w:rPr>
          <w:rFonts w:ascii="Times New Roman" w:hAnsi="Times New Roman"/>
          <w:i w:val="0"/>
          <w:sz w:val="22"/>
          <w:szCs w:val="22"/>
        </w:rPr>
      </w:pPr>
      <w:r>
        <w:rPr>
          <w:rFonts w:ascii="Times New Roman" w:hAnsi="Times New Roman"/>
          <w:i w:val="0"/>
          <w:sz w:val="22"/>
          <w:szCs w:val="22"/>
        </w:rPr>
        <w:t>KONSOLİDE OLMAYAN FİNANSAL TABLOLARA İLİŞKİN</w:t>
      </w:r>
    </w:p>
    <w:p>
      <w:pPr>
        <w:pStyle w:val="Heading2"/>
        <w:spacing w:before="0"/>
        <w:ind w:left="567"/>
        <w:jc w:val="center"/>
        <w:rPr>
          <w:rFonts w:ascii="Times New Roman" w:hAnsi="Times New Roman"/>
          <w:i w:val="0"/>
          <w:sz w:val="22"/>
          <w:szCs w:val="22"/>
        </w:rPr>
      </w:pPr>
      <w:r>
        <w:rPr>
          <w:rFonts w:ascii="Times New Roman" w:hAnsi="Times New Roman"/>
          <w:i w:val="0"/>
          <w:sz w:val="22"/>
          <w:szCs w:val="22"/>
        </w:rPr>
        <w:t>AÇIKLAMA VE DİPNOTLAR</w:t>
      </w:r>
    </w:p>
    <w:p>
      <w:pPr>
        <w:pStyle w:val="Heading2"/>
        <w:tabs>
          <w:tab w:val="left" w:pos="5775"/>
        </w:tabs>
        <w:spacing w:before="0"/>
        <w:ind w:left="567"/>
        <w:jc w:val="both"/>
        <w:rPr>
          <w:rFonts w:ascii="Times New Roman" w:hAnsi="Times New Roman"/>
          <w:sz w:val="22"/>
          <w:szCs w:val="22"/>
        </w:rPr>
      </w:pPr>
      <w:r>
        <w:rPr>
          <w:rFonts w:ascii="Times New Roman" w:hAnsi="Times New Roman"/>
          <w:sz w:val="22"/>
          <w:szCs w:val="22"/>
        </w:rPr>
        <w:tab/>
      </w:r>
    </w:p>
    <w:p>
      <w:pPr>
        <w:pStyle w:val="Heading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r>
      <w:r>
        <w:rPr>
          <w:rFonts w:ascii="Times New Roman" w:hAnsi="Times New Roman"/>
          <w:i w:val="0"/>
          <w:sz w:val="22"/>
          <w:szCs w:val="22"/>
        </w:rPr>
        <w:t xml:space="preserve">Bilançonun aktif hesaplarına ilişkin açıklama ve dipnotlar: </w:t>
      </w:r>
    </w:p>
    <w:p>
      <w:pPr>
        <w:ind w:left="567"/>
        <w:jc w:val="both"/>
        <w:rPr>
          <w:b/>
          <w:bCs/>
          <w:sz w:val="22"/>
          <w:szCs w:val="22"/>
        </w:rPr>
      </w:pPr>
    </w:p>
    <w:p>
      <w:pPr>
        <w:tabs>
          <w:tab w:val="left" w:pos="709"/>
        </w:tabs>
        <w:rPr>
          <w:b/>
          <w:bCs/>
          <w:sz w:val="22"/>
          <w:szCs w:val="22"/>
        </w:rPr>
      </w:pPr>
      <w:bookmarkStart w:id="1" w:name="_Hlt40762914"/>
      <w:r>
        <w:rPr>
          <w:b/>
          <w:bCs/>
          <w:sz w:val="22"/>
          <w:szCs w:val="22"/>
        </w:rPr>
        <w:t>1.a)</w:t>
      </w:r>
      <w:r>
        <w:rPr>
          <w:b/>
          <w:bCs/>
          <w:sz w:val="22"/>
          <w:szCs w:val="22"/>
        </w:rPr>
        <w:tab/>
      </w:r>
      <w:r>
        <w:rPr>
          <w:b/>
          <w:bCs/>
          <w:sz w:val="22"/>
          <w:szCs w:val="22"/>
        </w:rPr>
        <w:t>Nakit değerler ve TCMB’ye ilişkin bilgiler</w:t>
      </w:r>
      <w:bookmarkEnd w:id="1"/>
      <w:r>
        <w:rPr>
          <w:b/>
          <w:bCs/>
          <w:sz w:val="22"/>
          <w:szCs w:val="22"/>
        </w:rPr>
        <w:t>:</w:t>
      </w:r>
      <w:r>
        <w:rPr>
          <w:b/>
          <w:bCs/>
          <w:sz w:val="22"/>
          <w:szCs w:val="22"/>
        </w:rPr>
        <w:t xml:space="preserve"> </w:t>
      </w:r>
    </w:p>
    <w:p>
      <w:pPr>
        <w:pStyle w:val="1tipi"/>
        <w:tabs>
          <w:tab w:val="clear" w:pos="1134"/>
        </w:tabs>
        <w:ind w:left="567"/>
        <w:rPr>
          <w:rFonts w:ascii="Times New Roman" w:hAnsi="Times New Roman" w:cs="Times New Roman"/>
          <w:sz w:val="22"/>
          <w:szCs w:val="22"/>
          <w:lang w:val="tr-TR"/>
        </w:rPr>
      </w:pP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(3</w:t>
            </w:r>
            <w:r>
              <w:rPr>
                <w:b/>
                <w:bCs/>
                <w:sz w:val="18"/>
                <w:szCs w:val="18"/>
              </w:rPr>
              <w:t>0</w:t>
            </w:r>
            <w:r>
              <w:rPr>
                <w:b/>
                <w:bCs/>
                <w:sz w:val="18"/>
                <w:szCs w:val="18"/>
              </w:rPr>
              <w:t>.</w:t>
            </w:r>
            <w:r>
              <w:rPr>
                <w:b/>
                <w:bCs/>
                <w:sz w:val="18"/>
                <w:szCs w:val="18"/>
              </w:rPr>
              <w:t>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Kasa/Efektif</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TCMB</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92</w:t>
            </w:r>
          </w:p>
        </w:tc>
        <w:tc>
          <w:tcPr>
            <w:tcW w:w="1418"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132</w:t>
            </w:r>
          </w:p>
        </w:tc>
        <w:tc>
          <w:tcPr>
            <w:tcW w:w="1418"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bl>
    <w:p>
      <w:pPr>
        <w:rPr>
          <w:b/>
          <w:bCs/>
          <w:sz w:val="18"/>
          <w:szCs w:val="18"/>
        </w:rPr>
      </w:pPr>
    </w:p>
    <w:p>
      <w:pPr>
        <w:pStyle w:val="BodyTextIndent"/>
        <w:tabs>
          <w:tab w:val="left" w:pos="709"/>
        </w:tabs>
        <w:spacing w:line="216" w:lineRule="auto"/>
        <w:ind w:firstLine="0"/>
        <w:rPr>
          <w:b/>
          <w:sz w:val="22"/>
          <w:szCs w:val="22"/>
        </w:rPr>
      </w:pPr>
      <w:r>
        <w:rPr>
          <w:b/>
          <w:sz w:val="22"/>
          <w:szCs w:val="22"/>
        </w:rPr>
        <w:t>1.a.1)</w:t>
      </w:r>
      <w:r>
        <w:rPr>
          <w:b/>
          <w:sz w:val="22"/>
          <w:szCs w:val="22"/>
        </w:rPr>
        <w:tab/>
      </w:r>
      <w:r>
        <w:rPr>
          <w:b/>
          <w:sz w:val="22"/>
          <w:szCs w:val="22"/>
        </w:rPr>
        <w:t xml:space="preserve">Zorunlu Karşılıklara ilişkin açıklamalar: </w:t>
      </w:r>
    </w:p>
    <w:p>
      <w:pPr>
        <w:tabs>
          <w:tab w:val="left" w:pos="540"/>
        </w:tabs>
        <w:rPr>
          <w:rFonts w:eastAsia="Arial Unicode MS"/>
          <w:bCs/>
          <w:sz w:val="22"/>
          <w:szCs w:val="22"/>
        </w:rPr>
      </w:pPr>
    </w:p>
    <w:p>
      <w:pPr>
        <w:ind w:left="709"/>
        <w:jc w:val="both"/>
        <w:rPr>
          <w:rFonts w:eastAsia="Arial Unicode MS"/>
          <w:bCs/>
          <w:sz w:val="22"/>
          <w:szCs w:val="22"/>
        </w:rPr>
      </w:pPr>
      <w:r>
        <w:rPr>
          <w:rFonts w:eastAsia="Arial Unicode MS"/>
          <w:bCs/>
          <w:sz w:val="22"/>
          <w:szCs w:val="22"/>
        </w:rPr>
        <w:t>Banka</w:t>
      </w:r>
      <w:r>
        <w:rPr>
          <w:rFonts w:eastAsia="Arial Unicode MS"/>
          <w:bCs/>
          <w:sz w:val="22"/>
          <w:szCs w:val="22"/>
        </w:rPr>
        <w:t>ca</w:t>
      </w:r>
      <w:r>
        <w:rPr>
          <w:rFonts w:eastAsia="Arial Unicode MS"/>
          <w:bCs/>
          <w:sz w:val="22"/>
          <w:szCs w:val="22"/>
        </w:rPr>
        <w:t xml:space="preserve"> </w:t>
      </w:r>
      <w:r>
        <w:rPr>
          <w:rFonts w:eastAsia="Arial Unicode MS"/>
          <w:bCs/>
          <w:sz w:val="22"/>
          <w:szCs w:val="22"/>
        </w:rPr>
        <w:t xml:space="preserve">mevduat kabulü ve fon toplama işlemi yapılmadığı </w:t>
      </w:r>
      <w:r>
        <w:rPr>
          <w:rFonts w:eastAsia="Arial Unicode MS"/>
          <w:bCs/>
          <w:sz w:val="22"/>
          <w:szCs w:val="22"/>
        </w:rPr>
        <w:t xml:space="preserve">için </w:t>
      </w:r>
      <w:r>
        <w:rPr>
          <w:rFonts w:eastAsia="Arial Unicode MS"/>
          <w:bCs/>
          <w:sz w:val="22"/>
          <w:szCs w:val="22"/>
        </w:rPr>
        <w:t>T.C. Merkez Bankası’nın 2005/1 sayılı Zorunlu Karşılıklar hakkında Tebliği’ne tabi değildir.</w:t>
      </w:r>
    </w:p>
    <w:p>
      <w:pPr>
        <w:tabs>
          <w:tab w:val="left" w:pos="540"/>
        </w:tabs>
        <w:jc w:val="both"/>
        <w:rPr>
          <w:b/>
          <w:bCs/>
          <w:sz w:val="22"/>
          <w:szCs w:val="22"/>
        </w:rPr>
      </w:pPr>
    </w:p>
    <w:p>
      <w:pPr>
        <w:rPr>
          <w:b/>
          <w:bCs/>
          <w:sz w:val="22"/>
          <w:szCs w:val="22"/>
        </w:rPr>
      </w:pPr>
      <w:r>
        <w:rPr>
          <w:b/>
          <w:bCs/>
          <w:sz w:val="22"/>
          <w:szCs w:val="22"/>
        </w:rPr>
        <w:t>1.b)</w:t>
      </w:r>
      <w:r>
        <w:rPr>
          <w:b/>
          <w:bCs/>
          <w:sz w:val="22"/>
          <w:szCs w:val="22"/>
        </w:rPr>
        <w:tab/>
      </w:r>
      <w:r>
        <w:rPr>
          <w:b/>
          <w:bCs/>
          <w:sz w:val="22"/>
          <w:szCs w:val="22"/>
        </w:rPr>
        <w:t>T.C. Merkez Bankası hesabına ilişkin bilgiler:</w:t>
      </w:r>
    </w:p>
    <w:p>
      <w:pPr>
        <w:ind w:left="927"/>
        <w:rPr>
          <w:b/>
          <w:bCs/>
          <w:sz w:val="22"/>
          <w:szCs w:val="22"/>
        </w:rPr>
      </w:pP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Vadeli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bl>
    <w:p>
      <w:pPr>
        <w:pStyle w:val="BodyText2"/>
        <w:rPr>
          <w:sz w:val="22"/>
          <w:szCs w:val="22"/>
        </w:rPr>
      </w:pPr>
    </w:p>
    <w:p>
      <w:pPr>
        <w:ind w:left="709" w:hanging="709"/>
        <w:jc w:val="both"/>
        <w:rPr>
          <w:b/>
          <w:bCs/>
          <w:sz w:val="22"/>
          <w:szCs w:val="22"/>
        </w:rPr>
      </w:pPr>
      <w:r>
        <w:rPr>
          <w:b/>
          <w:bCs/>
          <w:sz w:val="22"/>
          <w:szCs w:val="22"/>
        </w:rPr>
        <w:t>2.a)</w:t>
      </w:r>
      <w:r>
        <w:rPr>
          <w:b/>
          <w:bCs/>
          <w:sz w:val="22"/>
          <w:szCs w:val="22"/>
        </w:rPr>
        <w:tab/>
      </w:r>
      <w:r>
        <w:rPr>
          <w:b/>
          <w:bCs/>
          <w:sz w:val="22"/>
          <w:szCs w:val="22"/>
        </w:rPr>
        <w:t>Gerçeğe uygun değer farkı kar/zarara yansıtılan finansal varlıklardan repo işlemlerine konu olanlar ve teminata verilen/bloke edilenler (Net):</w:t>
      </w:r>
    </w:p>
    <w:p>
      <w:pPr>
        <w:pStyle w:val="BodyText2"/>
        <w:ind w:left="567"/>
        <w:rPr>
          <w:sz w:val="18"/>
          <w:szCs w:val="18"/>
        </w:rPr>
      </w:pPr>
    </w:p>
    <w:p>
      <w:pPr>
        <w:ind w:left="709" w:hanging="709"/>
        <w:jc w:val="both"/>
        <w:rPr>
          <w:rFonts w:eastAsia="Arial Unicode MS"/>
          <w:b/>
          <w:sz w:val="22"/>
          <w:szCs w:val="22"/>
        </w:rPr>
      </w:pPr>
      <w:r>
        <w:rPr>
          <w:rFonts w:eastAsia="Arial Unicode MS"/>
          <w:b/>
          <w:sz w:val="22"/>
          <w:szCs w:val="22"/>
        </w:rPr>
        <w:t>2.a.1)</w:t>
      </w:r>
      <w:r>
        <w:rPr>
          <w:rFonts w:eastAsia="Arial Unicode MS"/>
          <w:sz w:val="22"/>
          <w:szCs w:val="22"/>
        </w:rPr>
        <w:tab/>
      </w:r>
      <w:r>
        <w:rPr>
          <w:rFonts w:eastAsia="Arial Unicode MS"/>
          <w:b/>
          <w:sz w:val="22"/>
          <w:szCs w:val="22"/>
        </w:rPr>
        <w:t xml:space="preserve">Gerçeğe uygun değer farkı </w:t>
      </w:r>
      <w:r>
        <w:rPr>
          <w:rFonts w:eastAsia="Arial Unicode MS"/>
          <w:b/>
          <w:bCs/>
          <w:sz w:val="22"/>
          <w:szCs w:val="22"/>
        </w:rPr>
        <w:t>k</w:t>
      </w:r>
      <w:r>
        <w:rPr>
          <w:rFonts w:eastAsia="Arial Unicode MS"/>
          <w:b/>
          <w:bCs/>
          <w:sz w:val="22"/>
          <w:szCs w:val="22"/>
        </w:rPr>
        <w:t>a</w:t>
      </w:r>
      <w:r>
        <w:rPr>
          <w:rFonts w:eastAsia="Arial Unicode MS"/>
          <w:b/>
          <w:bCs/>
          <w:sz w:val="22"/>
          <w:szCs w:val="22"/>
        </w:rPr>
        <w:t>r</w:t>
      </w:r>
      <w:r>
        <w:rPr>
          <w:rFonts w:eastAsia="Arial Unicode MS"/>
          <w:b/>
          <w:sz w:val="22"/>
          <w:szCs w:val="22"/>
        </w:rPr>
        <w:t>/zarara yansıtılan finansal varlıklardan repo işlemlerine konu olan finansal varlık</w:t>
      </w:r>
      <w:r>
        <w:rPr>
          <w:rFonts w:eastAsia="Arial Unicode MS"/>
          <w:b/>
          <w:sz w:val="22"/>
          <w:szCs w:val="22"/>
        </w:rPr>
        <w:t>lara ilişkin bilgiler:</w:t>
      </w:r>
    </w:p>
    <w:p>
      <w:pPr>
        <w:ind w:left="1170" w:hanging="630"/>
        <w:jc w:val="both"/>
        <w:rPr>
          <w:rFonts w:eastAsia="Arial Unicode MS"/>
          <w:sz w:val="18"/>
          <w:szCs w:val="18"/>
        </w:rPr>
      </w:pP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w:t>
            </w:r>
            <w:r>
              <w:rPr>
                <w:b/>
                <w:bCs/>
                <w:sz w:val="18"/>
                <w:szCs w:val="18"/>
              </w:rPr>
              <w:t>.</w:t>
            </w:r>
            <w:r>
              <w:rPr>
                <w:b/>
                <w:bCs/>
                <w:sz w:val="18"/>
                <w:szCs w:val="18"/>
              </w:rPr>
              <w:t>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ind w:left="1170" w:hanging="630"/>
        <w:jc w:val="both"/>
        <w:rPr>
          <w:rFonts w:eastAsia="Arial Unicode MS"/>
          <w:sz w:val="18"/>
          <w:szCs w:val="18"/>
        </w:rPr>
      </w:pPr>
    </w:p>
    <w:p>
      <w:pPr>
        <w:ind w:left="709" w:hanging="709"/>
        <w:jc w:val="both"/>
        <w:rPr>
          <w:rFonts w:eastAsia="Arial Unicode MS"/>
          <w:b/>
          <w:sz w:val="22"/>
          <w:szCs w:val="22"/>
        </w:rPr>
      </w:pPr>
      <w:r>
        <w:rPr>
          <w:rFonts w:eastAsia="Arial Unicode MS"/>
          <w:b/>
          <w:sz w:val="22"/>
          <w:szCs w:val="22"/>
        </w:rPr>
        <w:t>2.a.2</w:t>
      </w:r>
      <w:r>
        <w:rPr>
          <w:rFonts w:eastAsia="Arial Unicode MS"/>
          <w:sz w:val="22"/>
          <w:szCs w:val="22"/>
        </w:rPr>
        <w:t>)</w:t>
      </w:r>
      <w:r>
        <w:rPr>
          <w:rFonts w:eastAsia="Arial Unicode MS"/>
          <w:sz w:val="22"/>
          <w:szCs w:val="22"/>
        </w:rPr>
        <w:tab/>
      </w:r>
      <w:r>
        <w:rPr>
          <w:rFonts w:eastAsia="Arial Unicode MS"/>
          <w:b/>
          <w:bCs/>
          <w:sz w:val="22"/>
          <w:szCs w:val="22"/>
        </w:rPr>
        <w:t>Gerçeğe uygun değer farkı k</w:t>
      </w:r>
      <w:r>
        <w:rPr>
          <w:rFonts w:eastAsia="Arial Unicode MS"/>
          <w:b/>
          <w:bCs/>
          <w:sz w:val="22"/>
          <w:szCs w:val="22"/>
        </w:rPr>
        <w:t>a</w:t>
      </w:r>
      <w:r>
        <w:rPr>
          <w:rFonts w:eastAsia="Arial Unicode MS"/>
          <w:b/>
          <w:bCs/>
          <w:sz w:val="22"/>
          <w:szCs w:val="22"/>
        </w:rPr>
        <w:t xml:space="preserve">r/zarara yansıtılan finansal varlıklardan </w:t>
      </w:r>
      <w:r>
        <w:rPr>
          <w:rFonts w:eastAsia="Arial Unicode MS"/>
          <w:b/>
          <w:sz w:val="22"/>
          <w:szCs w:val="22"/>
        </w:rPr>
        <w:t>teminata verilen/ bloke edilenlere ilişkin bilgiler:</w:t>
      </w:r>
    </w:p>
    <w:p>
      <w:pPr>
        <w:pStyle w:val="BodyText2"/>
        <w:rPr>
          <w:sz w:val="18"/>
          <w:szCs w:val="18"/>
        </w:rPr>
      </w:pP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1.385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1.385</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Heading2"/>
        <w:tabs>
          <w:tab w:val="left" w:pos="567"/>
        </w:tabs>
        <w:spacing w:before="0"/>
        <w:ind w:left="567" w:hanging="567"/>
        <w:jc w:val="both"/>
        <w:rPr>
          <w:rFonts w:ascii="Times New Roman" w:hAnsi="Times New Roman"/>
          <w:sz w:val="22"/>
          <w:szCs w:val="22"/>
        </w:rPr>
      </w:pPr>
      <w:r>
        <w:rPr>
          <w:rFonts w:ascii="Times New Roman" w:hAnsi="Times New Roman"/>
          <w:sz w:val="22"/>
          <w:szCs w:val="22"/>
        </w:rPr>
        <w:br w:type="page"/>
      </w:r>
    </w:p>
    <w:p>
      <w:pPr>
        <w:pStyle w:val="Heading2"/>
        <w:spacing w:before="0"/>
        <w:ind w:left="709" w:hanging="709"/>
        <w:jc w:val="both"/>
        <w:rPr>
          <w:rFonts w:ascii="Times New Roman" w:hAnsi="Times New Roman"/>
          <w:i w:val="0"/>
          <w:sz w:val="22"/>
          <w:szCs w:val="22"/>
        </w:rPr>
      </w:pPr>
    </w:p>
    <w:p>
      <w:pPr>
        <w:pStyle w:val="Heading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jc w:val="both"/>
        <w:rPr>
          <w:b/>
          <w:bCs/>
        </w:rPr>
      </w:pPr>
    </w:p>
    <w:p>
      <w:pPr>
        <w:tabs>
          <w:tab w:val="left" w:pos="0"/>
          <w:tab w:val="left" w:pos="709"/>
        </w:tabs>
        <w:jc w:val="both"/>
        <w:rPr>
          <w:b/>
          <w:bCs/>
          <w:sz w:val="22"/>
          <w:szCs w:val="22"/>
        </w:rPr>
      </w:pPr>
      <w:r>
        <w:rPr>
          <w:b/>
          <w:bCs/>
          <w:sz w:val="22"/>
          <w:szCs w:val="22"/>
        </w:rPr>
        <w:t>2.b)</w:t>
      </w:r>
      <w:r>
        <w:rPr>
          <w:b/>
          <w:bCs/>
          <w:sz w:val="22"/>
          <w:szCs w:val="22"/>
        </w:rPr>
        <w:tab/>
      </w:r>
      <w:r>
        <w:rPr>
          <w:b/>
          <w:bCs/>
          <w:sz w:val="22"/>
          <w:szCs w:val="22"/>
        </w:rPr>
        <w:t>Alım satım amaçlı türev finansal var</w:t>
      </w:r>
      <w:r>
        <w:rPr>
          <w:b/>
          <w:bCs/>
          <w:sz w:val="22"/>
          <w:szCs w:val="22"/>
        </w:rPr>
        <w:t>lıklara ilişkin pozitif farklar</w:t>
      </w:r>
      <w:r>
        <w:rPr>
          <w:b/>
          <w:bCs/>
          <w:sz w:val="22"/>
          <w:szCs w:val="22"/>
        </w:rPr>
        <w:t>:</w:t>
      </w:r>
    </w:p>
    <w:p>
      <w:pPr>
        <w:tabs>
          <w:tab w:val="left" w:pos="0"/>
        </w:tabs>
        <w:jc w:val="both"/>
        <w:rPr>
          <w:b/>
          <w:bCs/>
          <w:sz w:val="22"/>
          <w:szCs w:val="22"/>
        </w:rPr>
      </w:pPr>
    </w:p>
    <w:tbl>
      <w:tblPr>
        <w:tblW w:w="9038"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58"/>
        <w:gridCol w:w="1440"/>
        <w:gridCol w:w="1440"/>
        <w:gridCol w:w="1440"/>
        <w:gridCol w:w="1260"/>
      </w:tblGrid>
      <w:tr>
        <w:trPr>
          <w:cantSplit/>
          <w:trHeight w:val="255"/>
        </w:trPr>
        <w:tc>
          <w:tcPr>
            <w:tcW w:w="3458" w:type="dxa"/>
            <w:vMerge w:val="restart"/>
            <w:noWrap/>
            <w:tcMar>
              <w:top w:w="15" w:type="dxa"/>
              <w:left w:w="15" w:type="dxa"/>
              <w:bottom w:w="0" w:type="dxa"/>
              <w:right w:w="15" w:type="dxa"/>
            </w:tcMar>
            <w:vAlign w:val="bottom"/>
          </w:tcPr>
          <w:p>
            <w:pPr>
              <w:rPr>
                <w:rFonts w:eastAsia="Arial Unicode MS"/>
                <w:iCs/>
                <w:sz w:val="18"/>
                <w:szCs w:val="18"/>
              </w:rPr>
            </w:pPr>
            <w:r>
              <w:rPr>
                <w:sz w:val="18"/>
                <w:szCs w:val="18"/>
              </w:rPr>
              <w:t>Alım Satım Amaçlı Türev Finansal Varlıklar</w:t>
            </w:r>
          </w:p>
        </w:tc>
        <w:tc>
          <w:tcPr>
            <w:tcW w:w="2880" w:type="dxa"/>
            <w:gridSpan w:val="2"/>
            <w:vAlign w:val="center"/>
          </w:tcPr>
          <w:p>
            <w:pPr>
              <w:jc w:val="center"/>
              <w:rPr>
                <w:b/>
                <w:iCs/>
                <w:sz w:val="18"/>
                <w:szCs w:val="18"/>
              </w:rPr>
            </w:pPr>
            <w:r>
              <w:rPr>
                <w:b/>
                <w:iCs/>
                <w:sz w:val="18"/>
                <w:szCs w:val="18"/>
              </w:rPr>
              <w:t>Cari Dönem</w:t>
            </w:r>
          </w:p>
          <w:p>
            <w:pPr>
              <w:jc w:val="center"/>
              <w:rPr>
                <w:rFonts w:eastAsia="Arial Unicode MS"/>
                <w:b/>
                <w:iCs/>
                <w:sz w:val="18"/>
                <w:szCs w:val="18"/>
              </w:rPr>
            </w:pPr>
            <w:r>
              <w:rPr>
                <w:b/>
                <w:iCs/>
                <w:sz w:val="18"/>
                <w:szCs w:val="18"/>
              </w:rPr>
              <w:t>(</w:t>
            </w:r>
            <w:r>
              <w:rPr>
                <w:b/>
                <w:iCs/>
                <w:sz w:val="18"/>
                <w:szCs w:val="18"/>
              </w:rPr>
              <w:t>30.06</w:t>
            </w:r>
            <w:r>
              <w:rPr>
                <w:b/>
                <w:iCs/>
                <w:sz w:val="18"/>
                <w:szCs w:val="18"/>
              </w:rPr>
              <w:t>.201</w:t>
            </w:r>
            <w:r>
              <w:rPr>
                <w:b/>
                <w:iCs/>
                <w:sz w:val="18"/>
                <w:szCs w:val="18"/>
              </w:rPr>
              <w:t>1</w:t>
            </w:r>
            <w:r>
              <w:rPr>
                <w:b/>
                <w:iCs/>
                <w:sz w:val="18"/>
                <w:szCs w:val="18"/>
              </w:rPr>
              <w:t>)</w:t>
            </w:r>
          </w:p>
        </w:tc>
        <w:tc>
          <w:tcPr>
            <w:tcW w:w="2700" w:type="dxa"/>
            <w:gridSpan w:val="2"/>
            <w:vAlign w:val="center"/>
          </w:tcPr>
          <w:p>
            <w:pPr>
              <w:jc w:val="center"/>
              <w:rPr>
                <w:b/>
                <w:iCs/>
                <w:sz w:val="18"/>
                <w:szCs w:val="18"/>
              </w:rPr>
            </w:pPr>
            <w:r>
              <w:rPr>
                <w:b/>
                <w:iCs/>
                <w:sz w:val="18"/>
                <w:szCs w:val="18"/>
              </w:rPr>
              <w:t>Önceki Dönem</w:t>
            </w:r>
          </w:p>
          <w:p>
            <w:pPr>
              <w:jc w:val="center"/>
              <w:rPr>
                <w:rFonts w:eastAsia="Arial Unicode MS"/>
                <w:b/>
                <w:iCs/>
                <w:sz w:val="18"/>
                <w:szCs w:val="18"/>
              </w:rPr>
            </w:pPr>
            <w:r>
              <w:rPr>
                <w:b/>
                <w:iCs/>
                <w:sz w:val="18"/>
                <w:szCs w:val="18"/>
              </w:rPr>
              <w:t>(31.12.2010)</w:t>
            </w:r>
          </w:p>
        </w:tc>
      </w:tr>
      <w:tr>
        <w:trPr>
          <w:cantSplit/>
          <w:trHeight w:val="255"/>
        </w:trPr>
        <w:tc>
          <w:tcPr>
            <w:tcW w:w="3458" w:type="dxa"/>
            <w:vMerge/>
            <w:noWrap/>
            <w:tcMar>
              <w:top w:w="15" w:type="dxa"/>
              <w:left w:w="15" w:type="dxa"/>
              <w:bottom w:w="0" w:type="dxa"/>
              <w:right w:w="15" w:type="dxa"/>
            </w:tcMar>
            <w:vAlign w:val="bottom"/>
          </w:tcPr>
          <w:p>
            <w:pPr>
              <w:rPr>
                <w:sz w:val="18"/>
                <w:szCs w:val="18"/>
              </w:rPr>
            </w:pP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44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26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r>
      <w:tr>
        <w:trPr>
          <w:trHeight w:val="255"/>
        </w:trPr>
        <w:tc>
          <w:tcPr>
            <w:tcW w:w="3458" w:type="dxa"/>
            <w:noWrap/>
            <w:tcMar>
              <w:top w:w="15" w:type="dxa"/>
              <w:left w:w="15" w:type="dxa"/>
              <w:bottom w:w="0" w:type="dxa"/>
              <w:right w:w="15" w:type="dxa"/>
            </w:tcMar>
            <w:vAlign w:val="bottom"/>
          </w:tcPr>
          <w:p>
            <w:pPr>
              <w:ind w:left="360"/>
              <w:rPr>
                <w:rFonts w:eastAsia="Arial Unicode MS"/>
                <w:iCs/>
                <w:sz w:val="18"/>
                <w:szCs w:val="18"/>
              </w:rPr>
            </w:pPr>
            <w:r>
              <w:rPr>
                <w:sz w:val="18"/>
                <w:szCs w:val="18"/>
              </w:rPr>
              <w:t xml:space="preserve">Vadeli İşlemler </w:t>
            </w:r>
          </w:p>
        </w:tc>
        <w:tc>
          <w:tcPr>
            <w:tcW w:w="1440" w:type="dxa"/>
            <w:vAlign w:val="bottom"/>
          </w:tcPr>
          <w:p>
            <w:pPr>
              <w:ind w:right="78"/>
              <w:jc w:val="right"/>
              <w:rPr>
                <w:sz w:val="18"/>
                <w:szCs w:val="18"/>
              </w:rPr>
            </w:pPr>
            <w:r>
              <w:rPr>
                <w:sz w:val="18"/>
                <w:szCs w:val="18"/>
              </w:rPr>
              <w:t>304</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left="360"/>
              <w:rPr>
                <w:sz w:val="18"/>
                <w:szCs w:val="18"/>
              </w:rPr>
            </w:pPr>
            <w:r>
              <w:rPr>
                <w:sz w:val="18"/>
                <w:szCs w:val="18"/>
              </w:rPr>
              <w:t>Swap İşlemleri</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r>
              <w:rPr>
                <w:sz w:val="18"/>
                <w:szCs w:val="18"/>
              </w:rPr>
              <w:t>Futures İşlemleri</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r>
              <w:rPr>
                <w:sz w:val="18"/>
                <w:szCs w:val="18"/>
              </w:rPr>
              <w:t>Opsiyonlar</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rFonts w:eastAsia="Arial Unicode MS"/>
                <w:iCs/>
                <w:sz w:val="18"/>
                <w:szCs w:val="18"/>
              </w:rPr>
            </w:pPr>
            <w:r>
              <w:rPr>
                <w:sz w:val="18"/>
                <w:szCs w:val="18"/>
              </w:rPr>
              <w:t xml:space="preserve">Diğer </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rPr>
                <w:rFonts w:eastAsia="Arial Unicode MS"/>
                <w:iCs/>
                <w:sz w:val="18"/>
                <w:szCs w:val="18"/>
              </w:rPr>
            </w:pPr>
            <w:r>
              <w:rPr>
                <w:rFonts w:eastAsia="Arial Unicode MS"/>
                <w:iCs/>
                <w:sz w:val="18"/>
                <w:szCs w:val="18"/>
              </w:rPr>
              <w:t>Toplam</w:t>
            </w:r>
          </w:p>
        </w:tc>
        <w:tc>
          <w:tcPr>
            <w:tcW w:w="1440" w:type="dxa"/>
            <w:vAlign w:val="bottom"/>
          </w:tcPr>
          <w:p>
            <w:pPr>
              <w:ind w:right="78"/>
              <w:jc w:val="right"/>
              <w:rPr>
                <w:sz w:val="18"/>
                <w:szCs w:val="18"/>
              </w:rPr>
            </w:pPr>
            <w:r>
              <w:rPr>
                <w:sz w:val="18"/>
                <w:szCs w:val="18"/>
              </w:rPr>
              <w:t>304</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bl>
    <w:p>
      <w:pPr>
        <w:jc w:val="both"/>
      </w:pPr>
    </w:p>
    <w:p>
      <w:pPr>
        <w:jc w:val="both"/>
        <w:rPr>
          <w:b/>
          <w:bCs/>
          <w:sz w:val="22"/>
          <w:szCs w:val="22"/>
        </w:rPr>
      </w:pPr>
      <w:r>
        <w:rPr>
          <w:b/>
          <w:bCs/>
          <w:sz w:val="22"/>
          <w:szCs w:val="22"/>
        </w:rPr>
        <w:t>3.a)</w:t>
      </w:r>
      <w:r>
        <w:rPr>
          <w:b/>
          <w:bCs/>
          <w:sz w:val="22"/>
          <w:szCs w:val="22"/>
        </w:rPr>
        <w:tab/>
      </w:r>
      <w:r>
        <w:rPr>
          <w:b/>
          <w:bCs/>
          <w:sz w:val="22"/>
          <w:szCs w:val="22"/>
        </w:rPr>
        <w:t>Bankalara ilişkin bilgiler:</w:t>
      </w:r>
    </w:p>
    <w:p>
      <w:pPr>
        <w:jc w:val="both"/>
        <w:rPr>
          <w:b/>
          <w:bCs/>
          <w:sz w:val="22"/>
          <w:szCs w:val="22"/>
        </w:rPr>
      </w:pPr>
    </w:p>
    <w:tbl>
      <w:tblPr>
        <w:tblW w:w="9128" w:type="dxa"/>
        <w:tblInd w:w="779" w:type="dxa"/>
        <w:tblCellMar>
          <w:left w:w="70" w:type="dxa"/>
          <w:right w:w="70" w:type="dxa"/>
        </w:tblCellMar>
        <w:tblLook w:val="0000"/>
      </w:tblPr>
      <w:tblGrid>
        <w:gridCol w:w="3458"/>
        <w:gridCol w:w="1417"/>
        <w:gridCol w:w="1418"/>
        <w:gridCol w:w="1417"/>
        <w:gridCol w:w="1418"/>
      </w:tblGrid>
      <w:tr>
        <w:trPr>
          <w:trHeight w:val="255"/>
        </w:trPr>
        <w:tc>
          <w:tcPr>
            <w:tcW w:w="3458"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458"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Bankalar</w:t>
            </w:r>
          </w:p>
        </w:tc>
        <w:tc>
          <w:tcPr>
            <w:tcW w:w="1417"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Yurtiçi</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161.04</w:t>
            </w:r>
            <w:r>
              <w:rPr>
                <w:sz w:val="18"/>
                <w:szCs w:val="18"/>
              </w:rPr>
              <w:t>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1.627</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669</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 xml:space="preserve">Yurtdışı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1.390</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684</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Yurtdışı Merkez ve Şubeler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161.04</w:t>
            </w:r>
            <w:r>
              <w:rPr>
                <w:sz w:val="18"/>
                <w:szCs w:val="18"/>
              </w:rPr>
              <w:t>6</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3.017</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1.353</w:t>
            </w:r>
          </w:p>
        </w:tc>
      </w:tr>
    </w:tbl>
    <w:p>
      <w:pPr>
        <w:jc w:val="both"/>
        <w:rPr>
          <w:b/>
          <w:bCs/>
          <w:sz w:val="22"/>
          <w:szCs w:val="22"/>
        </w:rPr>
      </w:pPr>
    </w:p>
    <w:p>
      <w:pPr>
        <w:jc w:val="both"/>
        <w:rPr>
          <w:b/>
          <w:bCs/>
          <w:sz w:val="22"/>
          <w:szCs w:val="22"/>
        </w:rPr>
      </w:pPr>
      <w:r>
        <w:rPr>
          <w:b/>
          <w:bCs/>
          <w:sz w:val="22"/>
          <w:szCs w:val="22"/>
        </w:rPr>
        <w:t>4)</w:t>
      </w:r>
      <w:r>
        <w:rPr>
          <w:b/>
          <w:bCs/>
          <w:sz w:val="22"/>
          <w:szCs w:val="22"/>
        </w:rPr>
        <w:tab/>
        <w:t>Satılmaya hazır finansal varlıklara ilişkin bilgiler:</w:t>
      </w:r>
    </w:p>
    <w:p>
      <w:pPr>
        <w:jc w:val="both"/>
        <w:rPr>
          <w:b/>
          <w:bCs/>
          <w:sz w:val="22"/>
          <w:szCs w:val="22"/>
        </w:rPr>
      </w:pPr>
    </w:p>
    <w:p>
      <w:pPr>
        <w:jc w:val="both"/>
        <w:rPr>
          <w:b/>
          <w:bCs/>
          <w:sz w:val="22"/>
          <w:szCs w:val="22"/>
        </w:rPr>
      </w:pPr>
      <w:r>
        <w:rPr>
          <w:b/>
          <w:bCs/>
          <w:sz w:val="22"/>
          <w:szCs w:val="22"/>
        </w:rPr>
        <w:t>4.a</w:t>
      </w:r>
      <w:r>
        <w:rPr>
          <w:b/>
          <w:bCs/>
          <w:sz w:val="22"/>
          <w:szCs w:val="22"/>
        </w:rPr>
        <w:t>.1</w:t>
      </w:r>
      <w:r>
        <w:rPr>
          <w:b/>
          <w:bCs/>
          <w:sz w:val="22"/>
          <w:szCs w:val="22"/>
        </w:rPr>
        <w:t>)</w:t>
      </w:r>
      <w:bookmarkStart w:id="2" w:name="_Hlt40763918"/>
      <w:r>
        <w:rPr>
          <w:sz w:val="22"/>
          <w:szCs w:val="22"/>
        </w:rPr>
        <w:tab/>
      </w:r>
      <w:r>
        <w:rPr>
          <w:b/>
          <w:bCs/>
          <w:sz w:val="22"/>
          <w:szCs w:val="22"/>
        </w:rPr>
        <w:t>Repo işlemlerine konu edilen satılmaya hazır finansal varlıklar:</w:t>
      </w:r>
    </w:p>
    <w:bookmarkEnd w:id="2"/>
    <w:p>
      <w:pPr>
        <w:pStyle w:val="BodyText3"/>
        <w:tabs>
          <w:tab w:val="clear" w:pos="539"/>
          <w:tab w:val="clear" w:pos="5310"/>
          <w:tab w:val="clear" w:pos="7560"/>
        </w:tabs>
        <w:jc w:val="both"/>
        <w:rPr>
          <w:b/>
          <w:bCs/>
        </w:rPr>
      </w:pPr>
    </w:p>
    <w:p>
      <w:pPr>
        <w:pStyle w:val="BodyText3"/>
        <w:tabs>
          <w:tab w:val="clear" w:pos="539"/>
          <w:tab w:val="clear" w:pos="5310"/>
          <w:tab w:val="clear" w:pos="7560"/>
        </w:tabs>
        <w:jc w:val="both"/>
        <w:rPr>
          <w:iCs/>
        </w:rPr>
      </w:pPr>
      <w:r>
        <w:rPr>
          <w:b/>
          <w:bCs/>
          <w:sz w:val="22"/>
          <w:szCs w:val="22"/>
        </w:rPr>
        <w:tab/>
      </w:r>
    </w:p>
    <w:p>
      <w:pPr>
        <w:pStyle w:val="BodyText3"/>
        <w:tabs>
          <w:tab w:val="clear" w:pos="539"/>
          <w:tab w:val="clear" w:pos="5310"/>
          <w:tab w:val="clear" w:pos="7560"/>
        </w:tabs>
        <w:jc w:val="both"/>
        <w:rPr>
          <w:iCs/>
        </w:rPr>
      </w:pPr>
      <w:r>
        <w:rPr>
          <w:iCs/>
        </w:rPr>
        <w:tab/>
      </w: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(30.06.2011)</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(31.12.2010)</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70.439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70.439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BodyText3"/>
        <w:tabs>
          <w:tab w:val="clear" w:pos="539"/>
          <w:tab w:val="clear" w:pos="5310"/>
          <w:tab w:val="clear" w:pos="7560"/>
        </w:tabs>
        <w:jc w:val="both"/>
        <w:rPr>
          <w:iCs/>
        </w:rPr>
      </w:pPr>
    </w:p>
    <w:p>
      <w:pPr>
        <w:pStyle w:val="BodyText3"/>
        <w:tabs>
          <w:tab w:val="clear" w:pos="539"/>
          <w:tab w:val="clear" w:pos="5310"/>
          <w:tab w:val="clear" w:pos="7560"/>
        </w:tabs>
        <w:jc w:val="both"/>
        <w:rPr>
          <w:iCs/>
        </w:rPr>
      </w:pPr>
    </w:p>
    <w:p>
      <w:pPr>
        <w:jc w:val="both"/>
        <w:rPr>
          <w:b/>
          <w:bCs/>
          <w:sz w:val="22"/>
          <w:szCs w:val="22"/>
        </w:rPr>
      </w:pPr>
      <w:r>
        <w:rPr>
          <w:b/>
          <w:bCs/>
          <w:sz w:val="22"/>
          <w:szCs w:val="22"/>
        </w:rPr>
        <w:t>4.a.2)</w:t>
      </w:r>
      <w:r>
        <w:rPr>
          <w:sz w:val="22"/>
          <w:szCs w:val="22"/>
        </w:rPr>
        <w:tab/>
      </w:r>
      <w:r>
        <w:rPr>
          <w:b/>
          <w:sz w:val="22"/>
          <w:szCs w:val="22"/>
        </w:rPr>
        <w:t>T</w:t>
      </w:r>
      <w:r>
        <w:rPr>
          <w:b/>
          <w:bCs/>
          <w:sz w:val="22"/>
          <w:szCs w:val="22"/>
        </w:rPr>
        <w:t>eminata verilen/ bloke edilen satılmaya hazır finansal varlıklara ilişkin bilgiler:</w:t>
      </w:r>
    </w:p>
    <w:p>
      <w:pPr>
        <w:pStyle w:val="BodyText3"/>
        <w:tabs>
          <w:tab w:val="clear" w:pos="539"/>
          <w:tab w:val="clear" w:pos="5310"/>
          <w:tab w:val="clear" w:pos="7560"/>
        </w:tabs>
        <w:jc w:val="both"/>
        <w:rPr>
          <w:iCs/>
        </w:rPr>
      </w:pPr>
    </w:p>
    <w:tbl>
      <w:tblPr>
        <w:tblW w:w="9128" w:type="dxa"/>
        <w:tblInd w:w="779" w:type="dxa"/>
        <w:tblLayout w:type="fixed"/>
        <w:tblCellMar>
          <w:left w:w="70" w:type="dxa"/>
          <w:right w:w="70" w:type="dxa"/>
        </w:tblCellMar>
        <w:tblLook w:val="00A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jc w:val="both"/>
        <w:rPr>
          <w:b/>
          <w:bCs/>
          <w:sz w:val="22"/>
          <w:szCs w:val="22"/>
        </w:rPr>
      </w:pPr>
      <w:r>
        <w:rPr>
          <w:b/>
          <w:bCs/>
          <w:sz w:val="10"/>
          <w:szCs w:val="10"/>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567"/>
        </w:tabs>
        <w:jc w:val="both"/>
        <w:rPr>
          <w:b/>
          <w:bCs/>
          <w:sz w:val="22"/>
          <w:szCs w:val="22"/>
        </w:rPr>
      </w:pPr>
      <w:r>
        <w:rPr>
          <w:b/>
          <w:bCs/>
          <w:sz w:val="22"/>
          <w:szCs w:val="22"/>
        </w:rPr>
        <w:t>4.b)</w:t>
      </w:r>
      <w:r>
        <w:rPr>
          <w:b/>
          <w:bCs/>
          <w:sz w:val="22"/>
          <w:szCs w:val="22"/>
        </w:rPr>
        <w:tab/>
      </w:r>
      <w:r>
        <w:rPr>
          <w:b/>
          <w:bCs/>
          <w:sz w:val="22"/>
          <w:szCs w:val="22"/>
        </w:rPr>
        <w:t>Satılmaya hazır finansal varlıklara ilişkin bilgiler:</w:t>
      </w:r>
    </w:p>
    <w:p>
      <w:pPr>
        <w:ind w:left="567"/>
        <w:jc w:val="both"/>
        <w:rPr>
          <w:b/>
          <w:bCs/>
          <w:sz w:val="14"/>
          <w:szCs w:val="14"/>
        </w:rPr>
      </w:pPr>
    </w:p>
    <w:tbl>
      <w:tblPr>
        <w:tblW w:w="9242" w:type="dxa"/>
        <w:tblInd w:w="637" w:type="dxa"/>
        <w:tblLayout w:type="fixed"/>
        <w:tblCellMar>
          <w:left w:w="70" w:type="dxa"/>
          <w:right w:w="70" w:type="dxa"/>
        </w:tblCellMar>
        <w:tblLook w:val="00A0"/>
      </w:tblPr>
      <w:tblGrid>
        <w:gridCol w:w="3572"/>
        <w:gridCol w:w="2835"/>
        <w:gridCol w:w="2835"/>
      </w:tblGrid>
      <w:tr>
        <w:trPr>
          <w:trHeight w:val="656"/>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Borçlanma Senetleri</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136.723</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Gören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136.723</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Senetleri</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Değer Azalma Karşılığı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12.091</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12.091</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Toplam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u w:val="single"/>
              </w:rPr>
            </w:pPr>
            <w:r>
              <w:rPr>
                <w:sz w:val="18"/>
                <w:szCs w:val="18"/>
              </w:rPr>
              <w:t>137.678</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122.997</w:t>
            </w:r>
          </w:p>
        </w:tc>
      </w:tr>
    </w:tbl>
    <w:p>
      <w:pPr>
        <w:pStyle w:val="NormalWeb"/>
        <w:spacing w:before="0" w:beforeAutospacing="0" w:after="0" w:afterAutospacing="0"/>
        <w:ind w:left="1134" w:hanging="425"/>
        <w:jc w:val="both"/>
        <w:rPr>
          <w:rFonts w:ascii="Times New Roman" w:cs="Times New Roman"/>
          <w:bCs/>
          <w:sz w:val="12"/>
          <w:szCs w:val="12"/>
          <w:lang w:val="tr-TR"/>
        </w:rPr>
      </w:pPr>
    </w:p>
    <w:p>
      <w:pPr>
        <w:pStyle w:val="NormalWeb"/>
        <w:spacing w:before="0" w:beforeAutospacing="0" w:after="0" w:afterAutospacing="0"/>
        <w:ind w:left="993" w:hanging="425"/>
        <w:jc w:val="both"/>
        <w:rPr>
          <w:rFonts w:ascii="Times New Roman" w:cs="Times New Roman"/>
          <w:b/>
          <w:bCs/>
          <w:sz w:val="18"/>
          <w:szCs w:val="18"/>
          <w:lang w:val="tr-TR"/>
        </w:rPr>
      </w:pPr>
      <w:r>
        <w:rPr>
          <w:rFonts w:ascii="Times New Roman" w:cs="Times New Roman"/>
          <w:bCs/>
          <w:sz w:val="18"/>
          <w:szCs w:val="18"/>
          <w:lang w:val="tr-TR"/>
        </w:rPr>
        <w:t>(*)</w:t>
      </w:r>
      <w:r>
        <w:rPr>
          <w:rFonts w:ascii="Times New Roman" w:cs="Times New Roman"/>
          <w:bCs/>
          <w:sz w:val="18"/>
          <w:szCs w:val="18"/>
          <w:lang w:val="tr-TR"/>
        </w:rPr>
        <w:tab/>
      </w:r>
      <w:r>
        <w:rPr>
          <w:rFonts w:ascii="Times New Roman" w:cs="Times New Roman"/>
          <w:bCs/>
          <w:sz w:val="18"/>
          <w:szCs w:val="18"/>
          <w:lang w:val="tr-TR"/>
        </w:rPr>
        <w:t xml:space="preserve">Bilançoda </w:t>
      </w:r>
      <w:r>
        <w:rPr>
          <w:rFonts w:ascii="Times New Roman" w:cs="Times New Roman"/>
          <w:bCs/>
          <w:sz w:val="18"/>
          <w:szCs w:val="18"/>
          <w:lang w:val="tr-TR"/>
        </w:rPr>
        <w:t xml:space="preserve">satılmaya hazır finansal varlıklar bölümünde bulunan </w:t>
      </w:r>
      <w:r>
        <w:rPr>
          <w:rFonts w:ascii="Times New Roman" w:cs="Times New Roman"/>
          <w:bCs/>
          <w:sz w:val="18"/>
          <w:szCs w:val="18"/>
          <w:lang w:val="tr-TR"/>
        </w:rPr>
        <w:t>‘Diğer</w:t>
      </w:r>
      <w:r>
        <w:rPr>
          <w:rFonts w:ascii="Times New Roman" w:cs="Times New Roman"/>
          <w:bCs/>
          <w:sz w:val="18"/>
          <w:szCs w:val="18"/>
          <w:lang w:val="tr-TR"/>
        </w:rPr>
        <w:t xml:space="preserve"> Menkul Değerler</w:t>
      </w:r>
      <w:r>
        <w:rPr>
          <w:rFonts w:ascii="Times New Roman" w:cs="Times New Roman"/>
          <w:bCs/>
          <w:sz w:val="18"/>
          <w:szCs w:val="18"/>
          <w:lang w:val="tr-TR"/>
        </w:rPr>
        <w:t>’ satırında görülen</w:t>
      </w:r>
      <w:r>
        <w:rPr>
          <w:rFonts w:ascii="Times New Roman" w:cs="Times New Roman"/>
          <w:bCs/>
          <w:sz w:val="18"/>
          <w:szCs w:val="18"/>
          <w:lang w:val="tr-TR"/>
        </w:rPr>
        <w:t xml:space="preserve"> 18.</w:t>
      </w:r>
      <w:r>
        <w:rPr>
          <w:rFonts w:ascii="Times New Roman" w:cs="Times New Roman"/>
          <w:bCs/>
          <w:sz w:val="18"/>
          <w:szCs w:val="18"/>
          <w:lang w:val="tr-TR"/>
        </w:rPr>
        <w:t>705</w:t>
      </w:r>
      <w:r>
        <w:rPr>
          <w:rFonts w:ascii="Times New Roman" w:cs="Times New Roman"/>
          <w:bCs/>
          <w:sz w:val="18"/>
          <w:szCs w:val="18"/>
          <w:lang w:val="tr-TR"/>
        </w:rPr>
        <w:t xml:space="preserve"> Bin TL (31 Aralık 2010:</w:t>
      </w:r>
      <w:r>
        <w:rPr>
          <w:rFonts w:ascii="Times New Roman" w:cs="Times New Roman"/>
          <w:bCs/>
          <w:sz w:val="18"/>
          <w:szCs w:val="18"/>
          <w:lang w:val="tr-TR"/>
        </w:rPr>
        <w:t xml:space="preserve"> </w:t>
      </w:r>
      <w:r>
        <w:rPr>
          <w:rFonts w:ascii="Times New Roman" w:cs="Times New Roman"/>
          <w:bCs/>
          <w:sz w:val="18"/>
          <w:szCs w:val="18"/>
          <w:lang w:val="tr-TR"/>
        </w:rPr>
        <w:t xml:space="preserve">3.862 Bin TL) tutarındaki bakiye, </w:t>
      </w:r>
      <w:r>
        <w:rPr>
          <w:rFonts w:ascii="Times New Roman" w:cs="Times New Roman"/>
          <w:bCs/>
          <w:sz w:val="18"/>
          <w:szCs w:val="18"/>
          <w:lang w:val="tr-TR"/>
        </w:rPr>
        <w:t>3.</w:t>
      </w:r>
      <w:r>
        <w:rPr>
          <w:rFonts w:ascii="Times New Roman" w:cs="Times New Roman"/>
          <w:bCs/>
          <w:sz w:val="18"/>
          <w:szCs w:val="18"/>
          <w:lang w:val="tr-TR"/>
        </w:rPr>
        <w:t>805</w:t>
      </w:r>
      <w:r>
        <w:rPr>
          <w:rFonts w:ascii="Times New Roman" w:cs="Times New Roman"/>
          <w:bCs/>
          <w:sz w:val="18"/>
          <w:szCs w:val="18"/>
          <w:lang w:val="tr-TR"/>
        </w:rPr>
        <w:t xml:space="preserve"> Bin TL </w:t>
      </w:r>
      <w:r>
        <w:rPr>
          <w:rFonts w:ascii="Times New Roman" w:cs="Times New Roman"/>
          <w:bCs/>
          <w:sz w:val="18"/>
          <w:szCs w:val="18"/>
          <w:lang w:val="tr-TR"/>
        </w:rPr>
        <w:t>(20</w:t>
      </w:r>
      <w:r>
        <w:rPr>
          <w:rFonts w:ascii="Times New Roman" w:cs="Times New Roman"/>
          <w:bCs/>
          <w:sz w:val="18"/>
          <w:szCs w:val="18"/>
          <w:lang w:val="tr-TR"/>
        </w:rPr>
        <w:t>10</w:t>
      </w:r>
      <w:r>
        <w:rPr>
          <w:rFonts w:ascii="Times New Roman" w:cs="Times New Roman"/>
          <w:bCs/>
          <w:sz w:val="18"/>
          <w:szCs w:val="18"/>
          <w:lang w:val="tr-TR"/>
        </w:rPr>
        <w:t>: 3.</w:t>
      </w:r>
      <w:r>
        <w:rPr>
          <w:rFonts w:ascii="Times New Roman" w:cs="Times New Roman"/>
          <w:bCs/>
          <w:sz w:val="18"/>
          <w:szCs w:val="18"/>
          <w:lang w:val="tr-TR"/>
        </w:rPr>
        <w:t>862</w:t>
      </w:r>
      <w:r>
        <w:rPr>
          <w:rFonts w:ascii="Times New Roman" w:cs="Times New Roman"/>
          <w:bCs/>
          <w:sz w:val="18"/>
          <w:szCs w:val="18"/>
          <w:lang w:val="tr-TR"/>
        </w:rPr>
        <w:t xml:space="preserve"> Bin TL) </w:t>
      </w:r>
      <w:r>
        <w:rPr>
          <w:rFonts w:ascii="Times New Roman" w:cs="Times New Roman"/>
          <w:bCs/>
          <w:sz w:val="18"/>
          <w:szCs w:val="18"/>
          <w:lang w:val="tr-TR"/>
        </w:rPr>
        <w:t>tutarında</w:t>
      </w:r>
      <w:r>
        <w:rPr>
          <w:rFonts w:ascii="Times New Roman" w:cs="Times New Roman"/>
          <w:bCs/>
          <w:sz w:val="18"/>
          <w:szCs w:val="18"/>
          <w:lang w:val="tr-TR"/>
        </w:rPr>
        <w:t>ki</w:t>
      </w:r>
      <w:r>
        <w:rPr>
          <w:rFonts w:ascii="Times New Roman" w:cs="Times New Roman"/>
          <w:bCs/>
          <w:sz w:val="18"/>
          <w:szCs w:val="18"/>
          <w:lang w:val="tr-TR"/>
        </w:rPr>
        <w:t xml:space="preserve"> yatırım fonlarından</w:t>
      </w:r>
      <w:r>
        <w:rPr>
          <w:rFonts w:ascii="Times New Roman" w:cs="Times New Roman"/>
          <w:bCs/>
          <w:sz w:val="18"/>
          <w:szCs w:val="18"/>
          <w:lang w:val="tr-TR"/>
        </w:rPr>
        <w:t xml:space="preserve"> ve</w:t>
      </w:r>
      <w:r>
        <w:rPr>
          <w:rFonts w:ascii="Times New Roman" w:cs="Times New Roman"/>
          <w:bCs/>
          <w:sz w:val="18"/>
          <w:szCs w:val="18"/>
          <w:lang w:val="tr-TR"/>
        </w:rPr>
        <w:t xml:space="preserve"> </w:t>
      </w:r>
      <w:r>
        <w:rPr>
          <w:rFonts w:ascii="Times New Roman" w:cs="Times New Roman"/>
          <w:bCs/>
          <w:sz w:val="18"/>
          <w:szCs w:val="18"/>
          <w:lang w:val="tr-TR"/>
        </w:rPr>
        <w:t>14.</w:t>
      </w:r>
      <w:r>
        <w:rPr>
          <w:rFonts w:ascii="Times New Roman" w:cs="Times New Roman"/>
          <w:bCs/>
          <w:sz w:val="18"/>
          <w:szCs w:val="18"/>
          <w:lang w:val="tr-TR"/>
        </w:rPr>
        <w:t>900</w:t>
      </w:r>
      <w:r>
        <w:rPr>
          <w:rFonts w:ascii="Times New Roman" w:cs="Times New Roman"/>
          <w:bCs/>
          <w:sz w:val="18"/>
          <w:szCs w:val="18"/>
          <w:lang w:val="tr-TR"/>
        </w:rPr>
        <w:t xml:space="preserve"> </w:t>
      </w:r>
      <w:r>
        <w:rPr>
          <w:rFonts w:ascii="Times New Roman" w:cs="Times New Roman"/>
          <w:bCs/>
          <w:sz w:val="18"/>
          <w:szCs w:val="18"/>
          <w:lang w:val="tr-TR"/>
        </w:rPr>
        <w:t>Bin TL (2010</w:t>
      </w:r>
      <w:r>
        <w:rPr>
          <w:rFonts w:ascii="Times New Roman" w:cs="Times New Roman"/>
          <w:bCs/>
          <w:sz w:val="18"/>
          <w:szCs w:val="18"/>
          <w:lang w:val="tr-TR"/>
        </w:rPr>
        <w:t>:</w:t>
      </w:r>
      <w:r>
        <w:rPr>
          <w:rFonts w:ascii="Times New Roman" w:cs="Times New Roman"/>
          <w:bCs/>
          <w:sz w:val="18"/>
          <w:szCs w:val="18"/>
          <w:lang w:val="tr-TR"/>
        </w:rPr>
        <w:t xml:space="preserve"> </w:t>
      </w:r>
      <w:r>
        <w:rPr>
          <w:rFonts w:ascii="Times New Roman" w:cs="Times New Roman"/>
          <w:bCs/>
          <w:sz w:val="18"/>
          <w:szCs w:val="18"/>
          <w:lang w:val="tr-TR"/>
        </w:rPr>
        <w:t>B</w:t>
      </w:r>
      <w:r>
        <w:rPr>
          <w:rFonts w:ascii="Times New Roman" w:cs="Times New Roman"/>
          <w:bCs/>
          <w:sz w:val="18"/>
          <w:szCs w:val="18"/>
          <w:lang w:val="tr-TR"/>
        </w:rPr>
        <w:t xml:space="preserve">ulunmamaktadır) tutarında özel mevduat banka bonolarından </w:t>
      </w:r>
      <w:r>
        <w:rPr>
          <w:rFonts w:ascii="Times New Roman" w:cs="Times New Roman"/>
          <w:bCs/>
          <w:sz w:val="18"/>
          <w:szCs w:val="18"/>
          <w:lang w:val="tr-TR"/>
        </w:rPr>
        <w:t xml:space="preserve">oluşmaktadır. </w:t>
      </w:r>
    </w:p>
    <w:p>
      <w:pPr>
        <w:pStyle w:val="NormalWeb"/>
        <w:tabs>
          <w:tab w:val="left" w:pos="567"/>
        </w:tabs>
        <w:spacing w:after="0" w:afterAutospacing="0"/>
        <w:jc w:val="both"/>
        <w:rPr>
          <w:rFonts w:ascii="Times New Roman" w:cs="Times New Roman"/>
          <w:b/>
          <w:bCs/>
          <w:sz w:val="22"/>
          <w:szCs w:val="22"/>
          <w:lang w:val="tr-TR"/>
        </w:rPr>
      </w:pPr>
      <w:r>
        <w:rPr>
          <w:rFonts w:ascii="Times New Roman" w:cs="Times New Roman"/>
          <w:b/>
          <w:bCs/>
          <w:sz w:val="22"/>
          <w:szCs w:val="22"/>
          <w:lang w:val="tr-TR"/>
        </w:rPr>
        <w:t>5.</w:t>
      </w:r>
      <w:r>
        <w:rPr>
          <w:rFonts w:ascii="Times New Roman" w:cs="Times New Roman"/>
          <w:b/>
          <w:bCs/>
          <w:sz w:val="22"/>
          <w:szCs w:val="22"/>
          <w:lang w:val="tr-TR"/>
        </w:rPr>
        <w:tab/>
      </w:r>
      <w:r>
        <w:rPr>
          <w:rFonts w:ascii="Times New Roman" w:cs="Times New Roman"/>
          <w:b/>
          <w:bCs/>
          <w:sz w:val="22"/>
          <w:szCs w:val="22"/>
          <w:lang w:val="tr-TR"/>
        </w:rPr>
        <w:t>Kredilere ilişkin açıklamalar :</w:t>
      </w:r>
    </w:p>
    <w:p>
      <w:pPr>
        <w:pStyle w:val="NormalWeb"/>
        <w:spacing w:before="0" w:beforeAutospacing="0" w:after="0" w:afterAutospacing="0"/>
        <w:ind w:left="562"/>
        <w:jc w:val="both"/>
        <w:rPr>
          <w:rFonts w:ascii="Times New Roman" w:cs="Times New Roman"/>
          <w:b/>
          <w:bCs/>
          <w:sz w:val="22"/>
          <w:szCs w:val="22"/>
          <w:lang w:val="tr-TR"/>
        </w:rPr>
      </w:pPr>
    </w:p>
    <w:p>
      <w:pPr>
        <w:pStyle w:val="NormalWeb"/>
        <w:tabs>
          <w:tab w:val="left" w:pos="567"/>
        </w:tabs>
        <w:spacing w:before="0" w:beforeAutospacing="0" w:after="0" w:afterAutospacing="0"/>
        <w:ind w:left="567" w:hanging="567"/>
        <w:jc w:val="both"/>
        <w:rPr>
          <w:rFonts w:ascii="Times New Roman" w:cs="Times New Roman"/>
          <w:b/>
          <w:bCs/>
          <w:sz w:val="22"/>
          <w:szCs w:val="22"/>
          <w:lang w:val="tr-TR"/>
        </w:rPr>
      </w:pPr>
      <w:r>
        <w:rPr>
          <w:rFonts w:ascii="Times New Roman" w:cs="Times New Roman"/>
          <w:b/>
          <w:bCs/>
          <w:sz w:val="22"/>
          <w:szCs w:val="22"/>
          <w:lang w:val="tr-TR"/>
        </w:rPr>
        <w:t>5.a)</w:t>
      </w:r>
      <w:r>
        <w:rPr>
          <w:rFonts w:ascii="Times New Roman" w:cs="Times New Roman"/>
          <w:b/>
          <w:bCs/>
          <w:sz w:val="22"/>
          <w:szCs w:val="22"/>
          <w:lang w:val="tr-TR"/>
        </w:rPr>
        <w:tab/>
      </w:r>
      <w:r>
        <w:rPr>
          <w:rFonts w:ascii="Times New Roman" w:cs="Times New Roman"/>
          <w:b/>
          <w:bCs/>
          <w:sz w:val="22"/>
          <w:szCs w:val="22"/>
          <w:lang w:val="tr-TR"/>
        </w:rPr>
        <w:t>Bankanın ortaklarına ve mensuplarına verilen her çeşit kredi veya avansın bakiyesine ilişkin</w:t>
      </w:r>
      <w:r>
        <w:rPr>
          <w:rFonts w:ascii="Times New Roman" w:cs="Times New Roman"/>
          <w:b/>
          <w:bCs/>
          <w:sz w:val="22"/>
          <w:szCs w:val="22"/>
          <w:lang w:val="tr-TR"/>
        </w:rPr>
        <w:t xml:space="preserve"> </w:t>
      </w:r>
      <w:r>
        <w:rPr>
          <w:rFonts w:ascii="Times New Roman" w:cs="Times New Roman"/>
          <w:b/>
          <w:bCs/>
          <w:sz w:val="22"/>
          <w:szCs w:val="22"/>
          <w:lang w:val="tr-TR"/>
        </w:rPr>
        <w:t>bilgiler:</w:t>
      </w:r>
    </w:p>
    <w:p>
      <w:pPr>
        <w:pStyle w:val="NormalWeb"/>
        <w:tabs>
          <w:tab w:val="left" w:pos="450"/>
        </w:tabs>
        <w:spacing w:before="0" w:beforeAutospacing="0" w:after="0" w:afterAutospacing="0"/>
        <w:ind w:left="450" w:hanging="450"/>
        <w:jc w:val="both"/>
        <w:rPr>
          <w:rFonts w:ascii="Times New Roman" w:cs="Times New Roman"/>
          <w:b/>
          <w:bCs/>
          <w:sz w:val="22"/>
          <w:szCs w:val="22"/>
          <w:lang w:val="tr-TR"/>
        </w:rPr>
      </w:pPr>
    </w:p>
    <w:tbl>
      <w:tblPr>
        <w:tblW w:w="9242" w:type="dxa"/>
        <w:tblInd w:w="637" w:type="dxa"/>
        <w:tblLayout w:type="fixed"/>
        <w:tblCellMar>
          <w:left w:w="70" w:type="dxa"/>
          <w:right w:w="70" w:type="dxa"/>
        </w:tblCellMar>
        <w:tblLook w:val="00A0"/>
      </w:tblPr>
      <w:tblGrid>
        <w:gridCol w:w="3572"/>
        <w:gridCol w:w="1417"/>
        <w:gridCol w:w="1418"/>
        <w:gridCol w:w="1417"/>
        <w:gridCol w:w="1418"/>
      </w:tblGrid>
      <w:tr>
        <w:trPr>
          <w:cantSplit/>
          <w:trHeight w:val="255"/>
        </w:trPr>
        <w:tc>
          <w:tcPr>
            <w:tcW w:w="3572"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572"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Gayr</w:t>
            </w:r>
            <w:r>
              <w:rPr>
                <w:b/>
                <w:bCs/>
                <w:sz w:val="18"/>
                <w:szCs w:val="18"/>
              </w:rPr>
              <w:t>inakdi</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Gayrinakdi</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Doğrudan Krediler</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Tüzel Kişi Ortaklara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Dolaylı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Banka Mensuplarına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6.077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6.077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pStyle w:val="Heading2"/>
        <w:tabs>
          <w:tab w:val="left" w:pos="567"/>
        </w:tabs>
        <w:spacing w:before="0"/>
        <w:ind w:left="567" w:hanging="567"/>
        <w:jc w:val="both"/>
        <w:rPr>
          <w:b w:val="0"/>
          <w:bCs w:val="0"/>
          <w:sz w:val="22"/>
          <w:szCs w:val="22"/>
        </w:rPr>
      </w:pPr>
      <w:r>
        <w:rPr>
          <w:b w:val="0"/>
          <w:bCs w:val="0"/>
          <w:sz w:val="22"/>
          <w:szCs w:val="22"/>
        </w:rPr>
        <w:br w:type="page"/>
      </w:r>
    </w:p>
    <w:p>
      <w:pPr>
        <w:pStyle w:val="Heading2"/>
        <w:tabs>
          <w:tab w:val="left" w:pos="567"/>
        </w:tabs>
        <w:spacing w:before="0"/>
        <w:ind w:left="567" w:hanging="567"/>
        <w:jc w:val="both"/>
        <w:rPr>
          <w:rFonts w:ascii="Times New Roman" w:hAnsi="Times New Roman"/>
          <w:bCs w:val="0"/>
          <w:i w:val="0"/>
          <w:sz w:val="22"/>
          <w:szCs w:val="22"/>
        </w:rPr>
      </w:pPr>
    </w:p>
    <w:p>
      <w:pPr>
        <w:pStyle w:val="Heading2"/>
        <w:tabs>
          <w:tab w:val="left" w:pos="567"/>
        </w:tabs>
        <w:spacing w:before="0"/>
        <w:ind w:left="567" w:hanging="567"/>
        <w:jc w:val="both"/>
        <w:rPr>
          <w:rFonts w:ascii="Times New Roman" w:hAnsi="Times New Roman"/>
          <w:b w:val="0"/>
          <w:bCs w:val="0"/>
          <w:sz w:val="22"/>
          <w:szCs w:val="22"/>
        </w:rPr>
      </w:pPr>
      <w:r>
        <w:rPr>
          <w:rFonts w:ascii="Times New Roman" w:hAnsi="Times New Roman"/>
          <w:bCs w:val="0"/>
          <w:i w:val="0"/>
          <w:sz w:val="22"/>
          <w:szCs w:val="22"/>
        </w:rPr>
        <w:t>I-</w:t>
      </w:r>
      <w:r>
        <w:rPr>
          <w:rFonts w:ascii="Times New Roman" w:hAnsi="Times New Roman"/>
          <w:bCs w:val="0"/>
          <w:i w:val="0"/>
          <w:sz w:val="22"/>
          <w:szCs w:val="22"/>
        </w:rPr>
        <w:tab/>
        <w:t>Bilançonun aktif hesaplarına ilişkin açıklama ve dipnotlar (devam ediyor</w:t>
      </w:r>
      <w:r>
        <w:rPr>
          <w:rFonts w:ascii="Times New Roman" w:hAnsi="Times New Roman"/>
          <w:b w:val="0"/>
          <w:bCs w:val="0"/>
          <w:i w:val="0"/>
          <w:sz w:val="22"/>
          <w:szCs w:val="22"/>
        </w:rPr>
        <w:t>):</w:t>
      </w:r>
    </w:p>
    <w:p>
      <w:pPr>
        <w:ind w:left="567"/>
        <w:jc w:val="both"/>
        <w:rPr>
          <w:b/>
          <w:bCs/>
          <w:sz w:val="22"/>
          <w:szCs w:val="22"/>
        </w:rPr>
      </w:pPr>
    </w:p>
    <w:p>
      <w:pPr>
        <w:ind w:left="567" w:hanging="567"/>
        <w:jc w:val="both"/>
        <w:rPr>
          <w:b/>
          <w:bCs/>
          <w:sz w:val="22"/>
          <w:szCs w:val="22"/>
        </w:rPr>
      </w:pPr>
      <w:r>
        <w:rPr>
          <w:b/>
          <w:bCs/>
          <w:sz w:val="22"/>
          <w:szCs w:val="22"/>
        </w:rPr>
        <w:t>5.b)</w:t>
      </w:r>
      <w:r>
        <w:rPr>
          <w:b/>
          <w:bCs/>
          <w:sz w:val="22"/>
          <w:szCs w:val="22"/>
        </w:rPr>
        <w:tab/>
      </w:r>
      <w:r>
        <w:rPr>
          <w:b/>
          <w:bCs/>
          <w:sz w:val="22"/>
          <w:szCs w:val="22"/>
        </w:rPr>
        <w:t>Birinci ve ikinci grup krediler</w:t>
      </w:r>
      <w:r>
        <w:rPr>
          <w:b/>
          <w:bCs/>
          <w:sz w:val="22"/>
          <w:szCs w:val="22"/>
        </w:rPr>
        <w:t>,</w:t>
      </w:r>
      <w:r>
        <w:rPr>
          <w:b/>
          <w:bCs/>
          <w:sz w:val="22"/>
          <w:szCs w:val="22"/>
        </w:rPr>
        <w:t xml:space="preserve"> diğer alacaklar ile yeniden yapılandırı</w:t>
      </w:r>
      <w:r>
        <w:rPr>
          <w:b/>
          <w:bCs/>
          <w:sz w:val="22"/>
          <w:szCs w:val="22"/>
        </w:rPr>
        <w:t xml:space="preserve">lan ya da yeni bir itfa planına </w:t>
      </w:r>
      <w:r>
        <w:rPr>
          <w:b/>
          <w:bCs/>
          <w:sz w:val="22"/>
          <w:szCs w:val="22"/>
        </w:rPr>
        <w:t>bağlanan krediler ve diğer alacaklara ilişkin bilgiler:</w:t>
      </w:r>
    </w:p>
    <w:p>
      <w:pPr>
        <w:ind w:left="567"/>
        <w:jc w:val="both"/>
        <w:rPr>
          <w:b/>
          <w:bCs/>
          <w:sz w:val="16"/>
          <w:szCs w:val="16"/>
        </w:rPr>
      </w:pPr>
    </w:p>
    <w:tbl>
      <w:tblPr>
        <w:tblW w:w="9242" w:type="dxa"/>
        <w:tblInd w:w="637" w:type="dxa"/>
        <w:tblLayout w:type="fixed"/>
        <w:tblCellMar>
          <w:left w:w="70" w:type="dxa"/>
          <w:right w:w="70" w:type="dxa"/>
        </w:tblCellMar>
        <w:tblLook w:val="00A0"/>
      </w:tblPr>
      <w:tblGrid>
        <w:gridCol w:w="3118"/>
        <w:gridCol w:w="1531"/>
        <w:gridCol w:w="1531"/>
        <w:gridCol w:w="1531"/>
        <w:gridCol w:w="1531"/>
      </w:tblGrid>
      <w:tr>
        <w:trPr>
          <w:cantSplit/>
          <w:trHeight w:val="302"/>
        </w:trPr>
        <w:tc>
          <w:tcPr>
            <w:tcW w:w="3118" w:type="dxa"/>
            <w:vMerge w:val="restart"/>
            <w:tcBorders>
              <w:top w:val="single" w:sz="4" w:space="0" w:color="auto"/>
              <w:left w:val="single" w:sz="4" w:space="0" w:color="auto"/>
              <w:right w:val="single" w:sz="4" w:space="0" w:color="auto"/>
            </w:tcBorders>
            <w:shd w:val="clear" w:color="000000" w:fill="FFFFFF"/>
            <w:vAlign w:val="bottom"/>
          </w:tcPr>
          <w:p>
            <w:pPr>
              <w:jc w:val="center"/>
              <w:rPr>
                <w:sz w:val="18"/>
                <w:szCs w:val="18"/>
              </w:rPr>
            </w:pPr>
            <w:r>
              <w:rPr>
                <w:sz w:val="18"/>
                <w:szCs w:val="18"/>
              </w:rPr>
              <w:t> </w:t>
            </w:r>
          </w:p>
          <w:p>
            <w:pPr>
              <w:jc w:val="center"/>
              <w:rPr>
                <w:sz w:val="18"/>
                <w:szCs w:val="18"/>
              </w:rPr>
            </w:pPr>
            <w:r>
              <w:rPr>
                <w:sz w:val="18"/>
                <w:szCs w:val="18"/>
              </w:rPr>
              <w:t>Nakdi Krediler</w:t>
            </w:r>
          </w:p>
        </w:tc>
        <w:tc>
          <w:tcPr>
            <w:tcW w:w="3062"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 Standart Nitelikli Krediler ve Diğer Alacaklar</w:t>
            </w:r>
          </w:p>
        </w:tc>
        <w:tc>
          <w:tcPr>
            <w:tcW w:w="3062"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Yakın İzlemedeki Krediler ve Diğer Alacaklar</w:t>
            </w:r>
          </w:p>
        </w:tc>
      </w:tr>
      <w:tr>
        <w:trPr>
          <w:cantSplit/>
          <w:trHeight w:val="675"/>
        </w:trPr>
        <w:tc>
          <w:tcPr>
            <w:tcW w:w="3118" w:type="dxa"/>
            <w:vMerge/>
            <w:tcBorders>
              <w:left w:val="single" w:sz="4" w:space="0" w:color="auto"/>
              <w:bottom w:val="single" w:sz="4" w:space="0" w:color="auto"/>
              <w:right w:val="single" w:sz="4" w:space="0" w:color="auto"/>
            </w:tcBorders>
            <w:vAlign w:val="bottom"/>
          </w:tcPr>
          <w:p>
            <w:pPr>
              <w:jc w:val="center"/>
              <w:rPr>
                <w:sz w:val="18"/>
                <w:szCs w:val="18"/>
              </w:rPr>
            </w:pP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Dışı Krediler</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1.120.727</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3.472</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21.532</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22.644</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İskonto ve İştira Senetleri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İhracat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583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1.019</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İthalat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Mali Kesime Verilen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67.408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Tüketici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6.077</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Kredi Kartları</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Kıymetli Maden Kredisi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Diğer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1.046.659</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3.472</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20.513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22.644</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275.835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853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15.463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6.955</w:t>
            </w:r>
          </w:p>
        </w:tc>
      </w:tr>
      <w:tr>
        <w:trPr>
          <w:trHeight w:val="255"/>
        </w:trPr>
        <w:tc>
          <w:tcPr>
            <w:tcW w:w="3118"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 Alacaklar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324"/>
        </w:trPr>
        <w:tc>
          <w:tcPr>
            <w:tcW w:w="311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1.396.562</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4.325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36.995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29.599</w:t>
            </w:r>
          </w:p>
        </w:tc>
      </w:tr>
    </w:tbl>
    <w:p>
      <w:pPr>
        <w:ind w:left="567"/>
        <w:jc w:val="both"/>
        <w:rPr>
          <w:b/>
          <w:bCs/>
        </w:rPr>
      </w:pPr>
    </w:p>
    <w:p>
      <w:pPr>
        <w:pStyle w:val="Heading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Heading2"/>
        <w:spacing w:before="0"/>
        <w:ind w:left="567" w:hanging="567"/>
        <w:jc w:val="both"/>
        <w:rPr>
          <w:rFonts w:ascii="Times New Roman" w:hAnsi="Times New Roman"/>
          <w:i w:val="0"/>
          <w:sz w:val="22"/>
          <w:szCs w:val="22"/>
        </w:rPr>
      </w:pPr>
    </w:p>
    <w:p>
      <w:pPr>
        <w:pStyle w:val="Heading2"/>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rPr>
          <w:lang w:eastAsia="en-US"/>
        </w:rPr>
      </w:pPr>
    </w:p>
    <w:p>
      <w:pPr>
        <w:ind w:left="567" w:hanging="567"/>
        <w:jc w:val="both"/>
        <w:rPr>
          <w:sz w:val="22"/>
          <w:szCs w:val="22"/>
        </w:rPr>
      </w:pPr>
      <w:r>
        <w:rPr>
          <w:b/>
          <w:bCs/>
          <w:sz w:val="22"/>
          <w:szCs w:val="22"/>
        </w:rPr>
        <w:t>5.</w:t>
      </w:r>
      <w:r>
        <w:rPr>
          <w:b/>
          <w:bCs/>
          <w:sz w:val="22"/>
          <w:szCs w:val="22"/>
        </w:rPr>
        <w:t>c</w:t>
      </w:r>
      <w:r>
        <w:rPr>
          <w:b/>
          <w:bCs/>
          <w:sz w:val="22"/>
          <w:szCs w:val="22"/>
        </w:rPr>
        <w:t>)</w:t>
      </w:r>
      <w:r>
        <w:rPr>
          <w:b/>
          <w:bCs/>
          <w:sz w:val="22"/>
          <w:szCs w:val="22"/>
        </w:rPr>
        <w:tab/>
      </w:r>
      <w:r>
        <w:rPr>
          <w:b/>
          <w:bCs/>
          <w:sz w:val="22"/>
          <w:szCs w:val="22"/>
        </w:rPr>
        <w:t>Tüketici kredileri</w:t>
      </w:r>
      <w:r>
        <w:rPr>
          <w:b/>
          <w:bCs/>
          <w:sz w:val="22"/>
          <w:szCs w:val="22"/>
        </w:rPr>
        <w:t>,</w:t>
      </w:r>
      <w:r>
        <w:rPr>
          <w:b/>
          <w:bCs/>
          <w:sz w:val="22"/>
          <w:szCs w:val="22"/>
        </w:rPr>
        <w:t xml:space="preserve"> bireysel kredi kartları</w:t>
      </w:r>
      <w:r>
        <w:rPr>
          <w:b/>
          <w:bCs/>
          <w:sz w:val="22"/>
          <w:szCs w:val="22"/>
        </w:rPr>
        <w:t>,</w:t>
      </w:r>
      <w:r>
        <w:rPr>
          <w:b/>
          <w:bCs/>
          <w:sz w:val="22"/>
          <w:szCs w:val="22"/>
        </w:rPr>
        <w:t xml:space="preserve"> personel kredileri ve personel kredi kartlarına ilişkin bilgiler</w:t>
      </w:r>
      <w:r>
        <w:rPr>
          <w:sz w:val="22"/>
          <w:szCs w:val="22"/>
        </w:rPr>
        <w:t>:</w:t>
      </w:r>
    </w:p>
    <w:p>
      <w:pPr>
        <w:ind w:left="567"/>
        <w:jc w:val="both"/>
        <w:rPr>
          <w:sz w:val="22"/>
          <w:szCs w:val="22"/>
        </w:rPr>
      </w:pPr>
    </w:p>
    <w:tbl>
      <w:tblPr>
        <w:tblW w:w="9242" w:type="dxa"/>
        <w:tblInd w:w="637" w:type="dxa"/>
        <w:tblLayout w:type="fixed"/>
        <w:tblCellMar>
          <w:left w:w="70" w:type="dxa"/>
          <w:right w:w="70" w:type="dxa"/>
        </w:tblCellMar>
        <w:tblLook w:val="00A0"/>
      </w:tblPr>
      <w:tblGrid>
        <w:gridCol w:w="4139"/>
        <w:gridCol w:w="1701"/>
        <w:gridCol w:w="1701"/>
        <w:gridCol w:w="1701"/>
      </w:tblGrid>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Kısa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Orta ve Uzun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Kredileri-TP</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ind w:left="-160" w:firstLine="160"/>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6.077</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r>
              <w:rPr>
                <w:sz w:val="18"/>
                <w:szCs w:val="18"/>
              </w:rPr>
              <w:t>077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w:t>
            </w:r>
            <w:r>
              <w:rPr>
                <w:sz w:val="18"/>
                <w:szCs w:val="18"/>
              </w:rPr>
              <w:t>077</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r>
              <w:rPr>
                <w:sz w:val="18"/>
                <w:szCs w:val="18"/>
              </w:rPr>
              <w:t>077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Hesabı-TP(Gerçek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nil"/>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single" w:sz="4" w:space="0" w:color="auto"/>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Hesabı-YP(Gerçek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nil"/>
              <w:right w:val="single" w:sz="4" w:space="0" w:color="auto"/>
            </w:tcBorders>
            <w:shd w:val="clear" w:color="000000" w:fill="FFFFFF"/>
            <w:vAlign w:val="bottom"/>
          </w:tcPr>
          <w:p>
            <w:pPr>
              <w:jc w:val="right"/>
              <w:rPr>
                <w:sz w:val="18"/>
                <w:szCs w:val="18"/>
              </w:rPr>
            </w:pPr>
            <w:r>
              <w:rPr>
                <w:sz w:val="18"/>
                <w:szCs w:val="18"/>
              </w:rPr>
              <w:t>- </w:t>
            </w:r>
          </w:p>
        </w:tc>
      </w:tr>
      <w:tr>
        <w:trPr>
          <w:trHeight w:val="271"/>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w:t>
            </w:r>
            <w:r>
              <w:rPr>
                <w:sz w:val="18"/>
                <w:szCs w:val="18"/>
              </w:rPr>
              <w:t>077</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r>
              <w:rPr>
                <w:sz w:val="18"/>
                <w:szCs w:val="18"/>
              </w:rPr>
              <w:t>077</w:t>
            </w:r>
          </w:p>
        </w:tc>
      </w:tr>
    </w:tbl>
    <w:p>
      <w:pPr>
        <w:pStyle w:val="Heading2"/>
        <w:tabs>
          <w:tab w:val="left" w:pos="567"/>
        </w:tabs>
        <w:spacing w:before="0"/>
        <w:ind w:left="567" w:hanging="567"/>
        <w:jc w:val="both"/>
        <w:rPr>
          <w:rFonts w:ascii="Times New Roman" w:hAnsi="Times New Roman"/>
          <w:sz w:val="22"/>
          <w:szCs w:val="22"/>
        </w:rPr>
      </w:pPr>
      <w:r>
        <w:rPr>
          <w:rFonts w:ascii="Times New Roman" w:hAnsi="Times New Roman"/>
        </w:rPr>
        <w:br w:type="page"/>
      </w:r>
    </w:p>
    <w:p>
      <w:pPr>
        <w:pStyle w:val="Heading2"/>
        <w:tabs>
          <w:tab w:val="left" w:pos="709"/>
        </w:tabs>
        <w:spacing w:before="0"/>
        <w:ind w:left="709"/>
        <w:jc w:val="both"/>
        <w:rPr>
          <w:rFonts w:ascii="Times New Roman" w:hAnsi="Times New Roman"/>
          <w:i w:val="0"/>
          <w:sz w:val="22"/>
          <w:szCs w:val="22"/>
        </w:rPr>
      </w:pPr>
    </w:p>
    <w:p>
      <w:pPr>
        <w:pStyle w:val="Heading2"/>
        <w:numPr>
          <w:ilvl w:val="0"/>
          <w:numId w:val="23"/>
        </w:numPr>
        <w:tabs>
          <w:tab w:val="left" w:pos="709"/>
        </w:tabs>
        <w:spacing w:before="0"/>
        <w:ind w:left="709" w:hanging="709"/>
        <w:jc w:val="both"/>
        <w:rPr>
          <w:rFonts w:ascii="Times New Roman" w:hAnsi="Times New Roman"/>
          <w:i w:val="0"/>
          <w:sz w:val="22"/>
          <w:szCs w:val="22"/>
        </w:rPr>
      </w:pPr>
      <w:r>
        <w:rPr>
          <w:rFonts w:ascii="Times New Roman" w:hAnsi="Times New Roman"/>
          <w:i w:val="0"/>
          <w:sz w:val="22"/>
          <w:szCs w:val="22"/>
        </w:rPr>
        <w:t xml:space="preserve">Bilançonun aktif hesaplarına ilişkin açıklama ve dipnotlar (devam ediyor): </w:t>
      </w:r>
    </w:p>
    <w:p>
      <w:pPr>
        <w:rPr>
          <w:lang w:eastAsia="en-US"/>
        </w:rPr>
      </w:pPr>
    </w:p>
    <w:p>
      <w:pPr>
        <w:pStyle w:val="Heading1"/>
        <w:tabs>
          <w:tab w:val="left" w:pos="709"/>
        </w:tabs>
        <w:spacing w:before="0" w:line="240" w:lineRule="atLeast"/>
        <w:jc w:val="both"/>
        <w:rPr>
          <w:rFonts w:ascii="Times New Roman" w:hAnsi="Times New Roman"/>
          <w:b w:val="0"/>
          <w:bCs w:val="0"/>
          <w:sz w:val="22"/>
          <w:szCs w:val="22"/>
        </w:rPr>
      </w:pPr>
      <w:r>
        <w:rPr>
          <w:rFonts w:ascii="Times New Roman" w:hAnsi="Times New Roman"/>
          <w:sz w:val="22"/>
          <w:szCs w:val="22"/>
        </w:rPr>
        <w:t>5.</w:t>
      </w:r>
      <w:r>
        <w:rPr>
          <w:rFonts w:ascii="Times New Roman" w:hAnsi="Times New Roman"/>
          <w:sz w:val="22"/>
          <w:szCs w:val="22"/>
        </w:rPr>
        <w:t>ç</w:t>
      </w:r>
      <w:r>
        <w:rPr>
          <w:rFonts w:ascii="Times New Roman" w:hAnsi="Times New Roman"/>
          <w:sz w:val="22"/>
          <w:szCs w:val="22"/>
        </w:rPr>
        <w:t>)</w:t>
      </w:r>
      <w:r>
        <w:rPr>
          <w:rFonts w:ascii="Times New Roman" w:hAnsi="Times New Roman"/>
          <w:sz w:val="22"/>
          <w:szCs w:val="22"/>
        </w:rPr>
        <w:tab/>
      </w:r>
      <w:r>
        <w:rPr>
          <w:rFonts w:ascii="Times New Roman" w:hAnsi="Times New Roman"/>
          <w:sz w:val="22"/>
          <w:szCs w:val="22"/>
        </w:rPr>
        <w:t>Taksitli ticari krediler ve kurumsal kredi kartlarına ilişkin bilgiler:</w:t>
      </w:r>
    </w:p>
    <w:p>
      <w:pPr>
        <w:ind w:left="567"/>
        <w:rPr>
          <w:sz w:val="16"/>
          <w:szCs w:val="16"/>
        </w:rPr>
      </w:pPr>
    </w:p>
    <w:p>
      <w:pPr>
        <w:ind w:left="709"/>
        <w:jc w:val="both"/>
        <w:rPr>
          <w:sz w:val="22"/>
          <w:szCs w:val="22"/>
        </w:rPr>
      </w:pPr>
      <w:r>
        <w:rPr>
          <w:sz w:val="22"/>
          <w:szCs w:val="22"/>
        </w:rPr>
        <w:t>Bilanço tarihi itibarıyla Banka’nın kullandırmış olduğu taksitli ticari kredi ve kurumsal kredi kartı bulunmamaktadır</w:t>
      </w:r>
      <w:r>
        <w:rPr>
          <w:sz w:val="22"/>
          <w:szCs w:val="22"/>
        </w:rPr>
        <w:t>.</w:t>
      </w:r>
    </w:p>
    <w:p>
      <w:pPr>
        <w:ind w:left="709"/>
        <w:jc w:val="both"/>
        <w:rPr>
          <w:sz w:val="22"/>
          <w:szCs w:val="22"/>
        </w:rPr>
      </w:pPr>
    </w:p>
    <w:p>
      <w:pPr>
        <w:tabs>
          <w:tab w:val="left" w:pos="709"/>
        </w:tabs>
        <w:rPr>
          <w:b/>
          <w:bCs/>
          <w:sz w:val="22"/>
          <w:szCs w:val="22"/>
        </w:rPr>
      </w:pPr>
      <w:r>
        <w:rPr>
          <w:b/>
          <w:bCs/>
          <w:sz w:val="22"/>
          <w:szCs w:val="22"/>
        </w:rPr>
        <w:t>5.</w:t>
      </w:r>
      <w:r>
        <w:rPr>
          <w:b/>
          <w:bCs/>
          <w:sz w:val="22"/>
          <w:szCs w:val="22"/>
        </w:rPr>
        <w:t>d</w:t>
      </w:r>
      <w:r>
        <w:rPr>
          <w:b/>
          <w:bCs/>
          <w:sz w:val="22"/>
          <w:szCs w:val="22"/>
        </w:rPr>
        <w:t>)</w:t>
      </w:r>
      <w:r>
        <w:rPr>
          <w:b/>
          <w:bCs/>
          <w:sz w:val="22"/>
          <w:szCs w:val="22"/>
        </w:rPr>
        <w:tab/>
      </w:r>
      <w:r>
        <w:rPr>
          <w:b/>
          <w:bCs/>
          <w:sz w:val="22"/>
          <w:szCs w:val="22"/>
        </w:rPr>
        <w:t xml:space="preserve">Yurtiçi ve yurtdışı kredilerin dağılımı:  </w:t>
      </w:r>
    </w:p>
    <w:p>
      <w:pPr>
        <w:rPr>
          <w:b/>
          <w:bCs/>
          <w:sz w:val="16"/>
          <w:szCs w:val="16"/>
        </w:rPr>
      </w:pPr>
    </w:p>
    <w:tbl>
      <w:tblPr>
        <w:tblW w:w="9143" w:type="dxa"/>
        <w:tblInd w:w="779" w:type="dxa"/>
        <w:tblLayout w:type="fixed"/>
        <w:tblCellMar>
          <w:left w:w="70" w:type="dxa"/>
          <w:right w:w="70" w:type="dxa"/>
        </w:tblCellMar>
        <w:tblLook w:val="0000"/>
      </w:tblPr>
      <w:tblGrid>
        <w:gridCol w:w="4820"/>
        <w:gridCol w:w="2126"/>
        <w:gridCol w:w="2197"/>
      </w:tblGrid>
      <w:tr>
        <w:trPr>
          <w:trHeight w:val="202"/>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Yurtiçi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1.467.481</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r>
        <w:trPr>
          <w:trHeight w:val="255"/>
        </w:trPr>
        <w:tc>
          <w:tcPr>
            <w:tcW w:w="4820" w:type="dxa"/>
            <w:tcBorders>
              <w:top w:val="nil"/>
              <w:left w:val="single" w:sz="4" w:space="0" w:color="auto"/>
              <w:bottom w:val="nil"/>
              <w:right w:val="single" w:sz="4" w:space="0" w:color="auto"/>
            </w:tcBorders>
            <w:shd w:val="clear" w:color="auto" w:fill="FFFFFF"/>
            <w:noWrap/>
            <w:vAlign w:val="bottom"/>
          </w:tcPr>
          <w:p>
            <w:pPr>
              <w:rPr>
                <w:sz w:val="18"/>
                <w:szCs w:val="18"/>
              </w:rPr>
            </w:pPr>
            <w:r>
              <w:rPr>
                <w:sz w:val="18"/>
                <w:szCs w:val="18"/>
              </w:rPr>
              <w:t xml:space="preserve">Yurtdışı Krediler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1.467.481</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bl>
    <w:p>
      <w:pPr>
        <w:pStyle w:val="Heading1"/>
        <w:spacing w:before="0"/>
        <w:jc w:val="both"/>
        <w:rPr>
          <w:rFonts w:ascii="Times New Roman" w:hAnsi="Times New Roman"/>
          <w:kern w:val="0"/>
          <w:sz w:val="22"/>
          <w:szCs w:val="22"/>
        </w:rPr>
      </w:pPr>
    </w:p>
    <w:p>
      <w:pPr>
        <w:pStyle w:val="Heading1"/>
        <w:spacing w:before="0"/>
        <w:jc w:val="both"/>
        <w:rPr>
          <w:rFonts w:ascii="Times New Roman" w:hAnsi="Times New Roman"/>
          <w:sz w:val="22"/>
          <w:szCs w:val="22"/>
        </w:rPr>
      </w:pPr>
      <w:r>
        <w:rPr>
          <w:rFonts w:ascii="Times New Roman" w:hAnsi="Times New Roman"/>
          <w:kern w:val="0"/>
          <w:sz w:val="22"/>
          <w:szCs w:val="22"/>
        </w:rPr>
        <w:t>5.</w:t>
      </w:r>
      <w:r>
        <w:rPr>
          <w:rFonts w:ascii="Times New Roman" w:hAnsi="Times New Roman"/>
          <w:kern w:val="0"/>
          <w:sz w:val="22"/>
          <w:szCs w:val="22"/>
        </w:rPr>
        <w:t>e</w:t>
      </w:r>
      <w:r>
        <w:rPr>
          <w:rFonts w:ascii="Times New Roman" w:hAnsi="Times New Roman"/>
          <w:kern w:val="0"/>
          <w:sz w:val="22"/>
          <w:szCs w:val="22"/>
        </w:rPr>
        <w:t>)</w:t>
      </w:r>
      <w:r>
        <w:rPr>
          <w:rFonts w:ascii="Times New Roman" w:hAnsi="Times New Roman"/>
          <w:sz w:val="18"/>
          <w:szCs w:val="18"/>
        </w:rPr>
        <w:tab/>
      </w:r>
      <w:r>
        <w:rPr>
          <w:rFonts w:ascii="Times New Roman" w:hAnsi="Times New Roman"/>
          <w:sz w:val="22"/>
          <w:szCs w:val="22"/>
        </w:rPr>
        <w:t>Bağlı ortaklık ve iştiraklere verilen krediler:</w:t>
      </w:r>
      <w:r>
        <w:rPr>
          <w:rFonts w:ascii="Times New Roman" w:hAnsi="Times New Roman"/>
          <w:sz w:val="22"/>
          <w:szCs w:val="22"/>
        </w:rPr>
        <w:t xml:space="preserve"> </w:t>
      </w:r>
    </w:p>
    <w:p>
      <w:pPr>
        <w:pStyle w:val="Heading1"/>
        <w:spacing w:before="0"/>
        <w:ind w:left="709"/>
        <w:jc w:val="both"/>
        <w:rPr>
          <w:rFonts w:ascii="Times New Roman" w:hAnsi="Times New Roman"/>
          <w:b w:val="0"/>
          <w:bCs w:val="0"/>
          <w:sz w:val="22"/>
          <w:szCs w:val="22"/>
        </w:rPr>
      </w:pPr>
    </w:p>
    <w:p>
      <w:pPr>
        <w:pStyle w:val="Heading1"/>
        <w:spacing w:before="0"/>
        <w:ind w:left="709"/>
        <w:jc w:val="both"/>
        <w:rPr>
          <w:rFonts w:ascii="Times New Roman" w:hAnsi="Times New Roman"/>
          <w:b w:val="0"/>
          <w:bCs w:val="0"/>
          <w:sz w:val="22"/>
          <w:szCs w:val="22"/>
        </w:rPr>
      </w:pPr>
      <w:r>
        <w:rPr>
          <w:rFonts w:ascii="Times New Roman" w:hAnsi="Times New Roman"/>
          <w:b w:val="0"/>
          <w:bCs w:val="0"/>
          <w:sz w:val="22"/>
          <w:szCs w:val="22"/>
        </w:rPr>
        <w:t>Banka</w:t>
      </w:r>
      <w:r>
        <w:rPr>
          <w:rFonts w:ascii="Times New Roman" w:hAnsi="Times New Roman"/>
          <w:b w:val="0"/>
          <w:bCs w:val="0"/>
          <w:sz w:val="22"/>
          <w:szCs w:val="22"/>
        </w:rPr>
        <w:t xml:space="preserve"> bağlı ortağı olan Arıcak A.Ş.’y</w:t>
      </w:r>
      <w:r>
        <w:rPr>
          <w:rFonts w:ascii="Times New Roman" w:hAnsi="Times New Roman"/>
          <w:b w:val="0"/>
          <w:bCs w:val="0"/>
          <w:sz w:val="22"/>
          <w:szCs w:val="22"/>
        </w:rPr>
        <w:t xml:space="preserve">e kullandırılan </w:t>
      </w:r>
      <w:r>
        <w:rPr>
          <w:rFonts w:ascii="Times New Roman" w:hAnsi="Times New Roman"/>
          <w:b w:val="0"/>
          <w:bCs w:val="0"/>
          <w:sz w:val="22"/>
          <w:szCs w:val="22"/>
        </w:rPr>
        <w:t>1.132</w:t>
      </w:r>
      <w:r>
        <w:rPr>
          <w:rFonts w:ascii="Times New Roman" w:hAnsi="Times New Roman"/>
          <w:b w:val="0"/>
          <w:bCs w:val="0"/>
          <w:sz w:val="22"/>
          <w:szCs w:val="22"/>
        </w:rPr>
        <w:t xml:space="preserve"> Bin TL tutarındaki krediyi V. Grup kredilerde izle</w:t>
      </w:r>
      <w:r>
        <w:rPr>
          <w:rFonts w:ascii="Times New Roman" w:hAnsi="Times New Roman"/>
          <w:b w:val="0"/>
          <w:bCs w:val="0"/>
          <w:sz w:val="22"/>
          <w:szCs w:val="22"/>
        </w:rPr>
        <w:t>mekte</w:t>
      </w:r>
      <w:r>
        <w:rPr>
          <w:rFonts w:ascii="Times New Roman" w:hAnsi="Times New Roman"/>
          <w:b w:val="0"/>
          <w:bCs w:val="0"/>
          <w:sz w:val="22"/>
          <w:szCs w:val="22"/>
        </w:rPr>
        <w:t xml:space="preserve">dir. Söz konusu kredi için </w:t>
      </w:r>
      <w:r>
        <w:rPr>
          <w:rFonts w:ascii="Times New Roman" w:hAnsi="Times New Roman"/>
          <w:b w:val="0"/>
          <w:bCs w:val="0"/>
          <w:sz w:val="22"/>
          <w:szCs w:val="22"/>
        </w:rPr>
        <w:t>1.026 Bin TL özel karşılık ayrılmıştır.</w:t>
      </w:r>
    </w:p>
    <w:p>
      <w:pPr>
        <w:rPr>
          <w:sz w:val="22"/>
          <w:szCs w:val="22"/>
          <w:lang w:eastAsia="en-US"/>
        </w:rPr>
      </w:pPr>
    </w:p>
    <w:p>
      <w:pPr>
        <w:rPr>
          <w:b/>
          <w:bCs/>
          <w:sz w:val="22"/>
          <w:szCs w:val="22"/>
        </w:rPr>
      </w:pPr>
      <w:r>
        <w:rPr>
          <w:b/>
          <w:bCs/>
          <w:sz w:val="22"/>
          <w:szCs w:val="22"/>
        </w:rPr>
        <w:t>5.</w:t>
      </w:r>
      <w:r>
        <w:rPr>
          <w:b/>
          <w:bCs/>
          <w:sz w:val="22"/>
          <w:szCs w:val="22"/>
        </w:rPr>
        <w:t>f</w:t>
      </w:r>
      <w:r>
        <w:rPr>
          <w:b/>
          <w:bCs/>
          <w:sz w:val="22"/>
          <w:szCs w:val="22"/>
        </w:rPr>
        <w:t>)</w:t>
      </w:r>
      <w:r>
        <w:rPr>
          <w:b/>
          <w:bCs/>
          <w:sz w:val="22"/>
          <w:szCs w:val="22"/>
        </w:rPr>
        <w:tab/>
      </w:r>
      <w:r>
        <w:rPr>
          <w:b/>
          <w:bCs/>
          <w:sz w:val="22"/>
          <w:szCs w:val="22"/>
        </w:rPr>
        <w:t>Kredilere ilişkin olarak ayrılan özel karşılıklar:</w:t>
      </w:r>
    </w:p>
    <w:p>
      <w:pPr>
        <w:ind w:firstLine="567"/>
        <w:rPr>
          <w:b/>
          <w:bCs/>
          <w:sz w:val="16"/>
          <w:szCs w:val="16"/>
        </w:rPr>
      </w:pPr>
    </w:p>
    <w:tbl>
      <w:tblPr>
        <w:tblW w:w="9143" w:type="dxa"/>
        <w:tblInd w:w="779" w:type="dxa"/>
        <w:tblLayout w:type="fixed"/>
        <w:tblCellMar>
          <w:left w:w="70" w:type="dxa"/>
          <w:right w:w="70" w:type="dxa"/>
        </w:tblCellMar>
        <w:tblLook w:val="00A0"/>
      </w:tblPr>
      <w:tblGrid>
        <w:gridCol w:w="4820"/>
        <w:gridCol w:w="2126"/>
        <w:gridCol w:w="2197"/>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 xml:space="preserve"> </w:t>
            </w:r>
            <w:r>
              <w:rPr>
                <w:b/>
                <w:bCs/>
                <w:sz w:val="18"/>
                <w:szCs w:val="18"/>
              </w:rPr>
              <w:t>(</w:t>
            </w:r>
            <w:r>
              <w:rPr>
                <w:b/>
                <w:bCs/>
                <w:sz w:val="18"/>
                <w:szCs w:val="18"/>
              </w:rPr>
              <w:t>30.06</w:t>
            </w:r>
            <w:r>
              <w:rPr>
                <w:b/>
                <w:bCs/>
                <w:sz w:val="18"/>
                <w:szCs w:val="18"/>
              </w:rPr>
              <w:t>.</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79" w:firstLine="322"/>
              <w:rPr>
                <w:sz w:val="18"/>
                <w:szCs w:val="18"/>
              </w:rPr>
            </w:pPr>
            <w:r>
              <w:rPr>
                <w:sz w:val="18"/>
                <w:szCs w:val="18"/>
              </w:rPr>
              <w:t xml:space="preserve">Tahsil İmkanı Sınırlı Krediler ve Diğer Alacaklar İçin  </w:t>
            </w:r>
          </w:p>
          <w:p>
            <w:pPr>
              <w:ind w:firstLineChars="179" w:firstLine="322"/>
              <w:rPr>
                <w:sz w:val="18"/>
                <w:szCs w:val="18"/>
              </w:rPr>
            </w:pPr>
            <w:r>
              <w:rPr>
                <w:sz w:val="18"/>
                <w:szCs w:val="18"/>
              </w:rPr>
              <w:t xml:space="preserve">Ayrılanlar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133</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Tahsili Şüpheli Krediler ve Diğer Alacaklar İçin 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w:t>
            </w:r>
            <w:r>
              <w:rPr>
                <w:sz w:val="18"/>
                <w:szCs w:val="18"/>
              </w:rPr>
              <w:t> </w:t>
            </w:r>
          </w:p>
        </w:tc>
      </w:tr>
      <w:tr>
        <w:trPr>
          <w:trHeight w:val="255"/>
        </w:trPr>
        <w:tc>
          <w:tcPr>
            <w:tcW w:w="4820"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 xml:space="preserve">Zarar Niteliğindeki Krediler ve Diğer Alacaklar İçin </w:t>
            </w:r>
          </w:p>
          <w:p>
            <w:pPr>
              <w:ind w:firstLineChars="200" w:firstLine="360"/>
              <w:rPr>
                <w:sz w:val="18"/>
                <w:szCs w:val="18"/>
              </w:rPr>
            </w:pPr>
            <w:r>
              <w:rPr>
                <w:sz w:val="18"/>
                <w:szCs w:val="18"/>
              </w:rPr>
              <w:t>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49.774</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w:t>
            </w:r>
            <w:r>
              <w:rPr>
                <w:sz w:val="18"/>
                <w:szCs w:val="18"/>
              </w:rPr>
              <w:t>.</w:t>
            </w:r>
            <w:r>
              <w:rPr>
                <w:sz w:val="18"/>
                <w:szCs w:val="18"/>
              </w:rPr>
              <w:t>798</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49.907</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50.815</w:t>
            </w:r>
          </w:p>
        </w:tc>
      </w:tr>
    </w:tbl>
    <w:p>
      <w:pPr>
        <w:jc w:val="both"/>
        <w:rPr>
          <w:b/>
          <w:bCs/>
          <w:sz w:val="22"/>
          <w:szCs w:val="22"/>
        </w:rPr>
      </w:pPr>
    </w:p>
    <w:p>
      <w:pPr>
        <w:spacing w:before="100" w:after="100"/>
        <w:jc w:val="both"/>
        <w:rPr>
          <w:b/>
          <w:bCs/>
          <w:sz w:val="22"/>
          <w:szCs w:val="22"/>
        </w:rPr>
      </w:pPr>
      <w:r>
        <w:rPr>
          <w:b/>
          <w:bCs/>
          <w:sz w:val="22"/>
          <w:szCs w:val="22"/>
        </w:rPr>
        <w:t>5.</w:t>
      </w:r>
      <w:r>
        <w:rPr>
          <w:b/>
          <w:bCs/>
          <w:sz w:val="22"/>
          <w:szCs w:val="22"/>
        </w:rPr>
        <w:t>g</w:t>
      </w:r>
      <w:r>
        <w:rPr>
          <w:b/>
          <w:bCs/>
          <w:sz w:val="22"/>
          <w:szCs w:val="22"/>
        </w:rPr>
        <w:t>)</w:t>
      </w:r>
      <w:r>
        <w:rPr>
          <w:b/>
          <w:bCs/>
          <w:sz w:val="22"/>
          <w:szCs w:val="22"/>
        </w:rPr>
        <w:tab/>
      </w:r>
      <w:r>
        <w:rPr>
          <w:b/>
          <w:bCs/>
          <w:sz w:val="22"/>
          <w:szCs w:val="22"/>
        </w:rPr>
        <w:t>Donuk alacaklara ilişkin bilgiler (net):</w:t>
      </w:r>
    </w:p>
    <w:p>
      <w:pPr>
        <w:spacing w:before="100" w:after="100"/>
        <w:ind w:left="630" w:hanging="630"/>
        <w:rPr>
          <w:b/>
          <w:bCs/>
          <w:sz w:val="22"/>
          <w:szCs w:val="22"/>
        </w:rPr>
      </w:pPr>
    </w:p>
    <w:p>
      <w:pPr>
        <w:spacing w:before="100" w:after="100"/>
        <w:ind w:left="709" w:hanging="709"/>
        <w:rPr>
          <w:b/>
          <w:bCs/>
          <w:sz w:val="22"/>
          <w:szCs w:val="22"/>
        </w:rPr>
      </w:pPr>
      <w:r>
        <w:rPr>
          <w:b/>
          <w:bCs/>
          <w:sz w:val="22"/>
          <w:szCs w:val="22"/>
        </w:rPr>
        <w:t>5.</w:t>
      </w:r>
      <w:r>
        <w:rPr>
          <w:b/>
          <w:bCs/>
          <w:sz w:val="22"/>
          <w:szCs w:val="22"/>
        </w:rPr>
        <w:t>g</w:t>
      </w:r>
      <w:r>
        <w:rPr>
          <w:b/>
          <w:bCs/>
          <w:sz w:val="22"/>
          <w:szCs w:val="22"/>
        </w:rPr>
        <w:t>.1)</w:t>
      </w:r>
      <w:r>
        <w:rPr>
          <w:b/>
          <w:bCs/>
          <w:sz w:val="22"/>
          <w:szCs w:val="22"/>
        </w:rPr>
        <w:tab/>
      </w:r>
      <w:r>
        <w:rPr>
          <w:b/>
          <w:bCs/>
          <w:sz w:val="22"/>
          <w:szCs w:val="22"/>
        </w:rPr>
        <w:t>Donuk alacaklardan bankaca yeniden yapılandırılan ya da yeni bir itfa planına bağlanan</w:t>
      </w:r>
      <w:r>
        <w:rPr>
          <w:b/>
          <w:bCs/>
          <w:sz w:val="22"/>
          <w:szCs w:val="22"/>
        </w:rPr>
        <w:t xml:space="preserve"> </w:t>
      </w:r>
      <w:r>
        <w:rPr>
          <w:b/>
          <w:bCs/>
          <w:sz w:val="22"/>
          <w:szCs w:val="22"/>
        </w:rPr>
        <w:t>krediler ve diğer alacaklara ilişkin bilgiler:</w:t>
      </w:r>
    </w:p>
    <w:p>
      <w:pPr>
        <w:spacing w:before="100" w:after="100"/>
        <w:ind w:left="709" w:hanging="709"/>
        <w:rPr>
          <w:b/>
          <w:bCs/>
          <w:sz w:val="22"/>
          <w:szCs w:val="22"/>
        </w:rPr>
      </w:pPr>
    </w:p>
    <w:tbl>
      <w:tblPr>
        <w:tblW w:w="9101" w:type="dxa"/>
        <w:tblInd w:w="779" w:type="dxa"/>
        <w:tblLayout w:type="fixed"/>
        <w:tblCellMar>
          <w:left w:w="70" w:type="dxa"/>
          <w:right w:w="70" w:type="dxa"/>
        </w:tblCellMar>
        <w:tblLook w:val="00A0"/>
      </w:tblPr>
      <w:tblGrid>
        <w:gridCol w:w="4195"/>
        <w:gridCol w:w="1699"/>
        <w:gridCol w:w="1458"/>
        <w:gridCol w:w="1749"/>
      </w:tblGrid>
      <w:tr>
        <w:trPr>
          <w:cantSplit/>
          <w:trHeight w:val="255"/>
        </w:trPr>
        <w:tc>
          <w:tcPr>
            <w:tcW w:w="4195" w:type="dxa"/>
            <w:vMerge w:val="restart"/>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p>
        </w:tc>
        <w:tc>
          <w:tcPr>
            <w:tcW w:w="169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III. Grup:</w:t>
            </w:r>
          </w:p>
        </w:tc>
        <w:tc>
          <w:tcPr>
            <w:tcW w:w="145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IV. Grup:</w:t>
            </w:r>
          </w:p>
        </w:tc>
        <w:tc>
          <w:tcPr>
            <w:tcW w:w="174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V. Grup</w:t>
            </w:r>
          </w:p>
        </w:tc>
      </w:tr>
      <w:tr>
        <w:trPr>
          <w:cantSplit/>
          <w:trHeight w:val="620"/>
        </w:trPr>
        <w:tc>
          <w:tcPr>
            <w:tcW w:w="419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69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Tahsil İmkanı Sınırlı Krediler ve Diğer Alacaklar</w:t>
            </w:r>
          </w:p>
        </w:tc>
        <w:tc>
          <w:tcPr>
            <w:tcW w:w="145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Tahsili Şüpheli Krediler ve Diğer Alacaklar</w:t>
            </w:r>
          </w:p>
        </w:tc>
        <w:tc>
          <w:tcPr>
            <w:tcW w:w="174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Zarar Niteliğindeki Krediler ve Diğer Alacaklar</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Cari Dönem (30.06.2011)</w:t>
            </w:r>
          </w:p>
        </w:tc>
        <w:tc>
          <w:tcPr>
            <w:tcW w:w="169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448</w:t>
            </w:r>
          </w:p>
        </w:tc>
        <w:tc>
          <w:tcPr>
            <w:tcW w:w="1458"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74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828</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nil"/>
              <w:left w:val="nil"/>
              <w:bottom w:val="single" w:sz="4" w:space="0" w:color="auto"/>
              <w:right w:val="single" w:sz="4" w:space="0" w:color="auto"/>
            </w:tcBorders>
            <w:vAlign w:val="bottom"/>
          </w:tcPr>
          <w:p>
            <w:pPr>
              <w:jc w:val="right"/>
              <w:rPr>
                <w:sz w:val="16"/>
                <w:szCs w:val="16"/>
              </w:rPr>
            </w:pPr>
            <w:r>
              <w:rPr>
                <w:sz w:val="16"/>
                <w:szCs w:val="16"/>
              </w:rPr>
              <w:t>- </w:t>
            </w:r>
          </w:p>
        </w:tc>
        <w:tc>
          <w:tcPr>
            <w:tcW w:w="1458" w:type="dxa"/>
            <w:tcBorders>
              <w:top w:val="nil"/>
              <w:left w:val="nil"/>
              <w:bottom w:val="single" w:sz="4" w:space="0" w:color="auto"/>
              <w:right w:val="single" w:sz="4" w:space="0" w:color="auto"/>
            </w:tcBorders>
            <w:vAlign w:val="bottom"/>
          </w:tcPr>
          <w:p>
            <w:pPr>
              <w:jc w:val="right"/>
              <w:rPr>
                <w:sz w:val="16"/>
                <w:szCs w:val="16"/>
              </w:rPr>
            </w:pPr>
            <w:r>
              <w:rPr>
                <w:sz w:val="16"/>
                <w:szCs w:val="16"/>
              </w:rPr>
              <w:t>- </w:t>
            </w:r>
          </w:p>
        </w:tc>
        <w:tc>
          <w:tcPr>
            <w:tcW w:w="1749" w:type="dxa"/>
            <w:tcBorders>
              <w:top w:val="nil"/>
              <w:left w:val="nil"/>
              <w:bottom w:val="single" w:sz="4" w:space="0" w:color="auto"/>
              <w:right w:val="single" w:sz="4" w:space="0" w:color="auto"/>
            </w:tcBorders>
            <w:vAlign w:val="bottom"/>
          </w:tcPr>
          <w:p>
            <w:pPr>
              <w:jc w:val="right"/>
              <w:rPr>
                <w:sz w:val="16"/>
                <w:szCs w:val="16"/>
              </w:rPr>
            </w:pPr>
            <w:r>
              <w:rPr>
                <w:sz w:val="16"/>
                <w:szCs w:val="16"/>
              </w:rPr>
              <w:t>- </w:t>
            </w:r>
          </w:p>
        </w:tc>
      </w:tr>
      <w:tr>
        <w:trPr>
          <w:trHeight w:val="362"/>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448</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828</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Önceki Dönem (31.12.2010)</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bl>
    <w:p>
      <w:pPr>
        <w:pStyle w:val="Heading2"/>
        <w:tabs>
          <w:tab w:val="left" w:pos="567"/>
        </w:tabs>
        <w:spacing w:before="0"/>
        <w:ind w:left="567" w:hanging="567"/>
        <w:jc w:val="both"/>
        <w:rPr>
          <w:rFonts w:ascii="Times New Roman" w:hAnsi="Times New Roman"/>
          <w:b w:val="0"/>
          <w:bCs w:val="0"/>
          <w:sz w:val="22"/>
          <w:szCs w:val="22"/>
        </w:rPr>
      </w:pPr>
    </w:p>
    <w:p>
      <w:pPr>
        <w:pStyle w:val="Heading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spacing w:line="240" w:lineRule="atLeast"/>
        <w:jc w:val="both"/>
        <w:rPr>
          <w:b/>
          <w:bCs/>
          <w:sz w:val="22"/>
          <w:szCs w:val="22"/>
        </w:rPr>
      </w:pPr>
      <w:r>
        <w:rPr>
          <w:b/>
          <w:bCs/>
          <w:sz w:val="22"/>
          <w:szCs w:val="22"/>
        </w:rPr>
        <w:t>5.</w:t>
      </w:r>
      <w:r>
        <w:rPr>
          <w:b/>
          <w:bCs/>
          <w:sz w:val="22"/>
          <w:szCs w:val="22"/>
        </w:rPr>
        <w:t>g</w:t>
      </w:r>
      <w:r>
        <w:rPr>
          <w:b/>
          <w:bCs/>
          <w:sz w:val="22"/>
          <w:szCs w:val="22"/>
        </w:rPr>
        <w:t>.2)</w:t>
      </w:r>
      <w:r>
        <w:rPr>
          <w:b/>
          <w:bCs/>
          <w:sz w:val="22"/>
          <w:szCs w:val="22"/>
        </w:rPr>
        <w:tab/>
        <w:t>Toplam donuk alacak hareketlerine ilişkin bilgiler:</w:t>
      </w:r>
    </w:p>
    <w:p>
      <w:pPr>
        <w:spacing w:line="240" w:lineRule="atLeast"/>
        <w:ind w:firstLine="567"/>
        <w:jc w:val="both"/>
        <w:rPr>
          <w:b/>
          <w:bCs/>
          <w:sz w:val="22"/>
          <w:szCs w:val="22"/>
        </w:rPr>
      </w:pPr>
    </w:p>
    <w:tbl>
      <w:tblPr>
        <w:tblW w:w="9128" w:type="dxa"/>
        <w:tblInd w:w="779" w:type="dxa"/>
        <w:tblCellMar>
          <w:left w:w="70" w:type="dxa"/>
          <w:right w:w="70" w:type="dxa"/>
        </w:tblCellMar>
        <w:tblLook w:val="0000"/>
      </w:tblPr>
      <w:tblGrid>
        <w:gridCol w:w="4025"/>
        <w:gridCol w:w="1701"/>
        <w:gridCol w:w="1701"/>
        <w:gridCol w:w="1701"/>
      </w:tblGrid>
      <w:tr>
        <w:trPr>
          <w:trHeight w:val="255"/>
        </w:trPr>
        <w:tc>
          <w:tcPr>
            <w:tcW w:w="4025" w:type="dxa"/>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III.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IV.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V. Grup</w:t>
            </w:r>
          </w:p>
        </w:tc>
      </w:tr>
      <w:tr>
        <w:trPr>
          <w:trHeight w:val="715"/>
        </w:trPr>
        <w:tc>
          <w:tcPr>
            <w:tcW w:w="402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 İmkanı Sınırlı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 ve Diğer Alacaklar</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Önceki Dönem Sonu Bakiyesi</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İntikal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2.705</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4.492</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Hesaplarından Giriş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326</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2.76</w:t>
            </w:r>
            <w:r>
              <w:rPr>
                <w:sz w:val="18"/>
                <w:szCs w:val="18"/>
              </w:rPr>
              <w:t>2</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Hesaplarına Çıkış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2.738</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350</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Tahsilat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40</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3.873</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Aktiften Silinen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95</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Kurumsal ve Ticari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Bireysel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Kredi Kartları</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95</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Dönem Sonu Bakiyesi</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2.665</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78.861</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133</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49.774</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Bilançodaki Net Bakiyesi </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2.532</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29.087</w:t>
            </w:r>
          </w:p>
        </w:tc>
      </w:tr>
    </w:tbl>
    <w:p>
      <w:pPr>
        <w:tabs>
          <w:tab w:val="left" w:pos="540"/>
        </w:tabs>
        <w:rPr>
          <w:sz w:val="12"/>
          <w:szCs w:val="12"/>
        </w:rPr>
      </w:pPr>
    </w:p>
    <w:p>
      <w:pPr>
        <w:ind w:left="1276" w:hanging="567"/>
        <w:jc w:val="both"/>
        <w:rPr>
          <w:sz w:val="12"/>
          <w:szCs w:val="12"/>
        </w:rPr>
      </w:pPr>
    </w:p>
    <w:p>
      <w:pPr>
        <w:spacing w:before="100" w:after="100"/>
        <w:jc w:val="both"/>
        <w:rPr>
          <w:b/>
          <w:bCs/>
          <w:sz w:val="22"/>
          <w:szCs w:val="22"/>
        </w:rPr>
      </w:pPr>
      <w:r>
        <w:rPr>
          <w:b/>
          <w:bCs/>
          <w:sz w:val="22"/>
          <w:szCs w:val="22"/>
        </w:rPr>
        <w:t>5.</w:t>
      </w:r>
      <w:r>
        <w:rPr>
          <w:b/>
          <w:bCs/>
          <w:sz w:val="22"/>
          <w:szCs w:val="22"/>
        </w:rPr>
        <w:t>g</w:t>
      </w:r>
      <w:r>
        <w:rPr>
          <w:b/>
          <w:bCs/>
          <w:sz w:val="22"/>
          <w:szCs w:val="22"/>
        </w:rPr>
        <w:t>.3)</w:t>
      </w:r>
      <w:r>
        <w:rPr>
          <w:b/>
          <w:bCs/>
          <w:sz w:val="22"/>
          <w:szCs w:val="22"/>
        </w:rPr>
        <w:tab/>
      </w:r>
      <w:r>
        <w:rPr>
          <w:b/>
          <w:bCs/>
          <w:sz w:val="22"/>
          <w:szCs w:val="22"/>
        </w:rPr>
        <w:t>Yabancı para olarak kullandırılan kredilerden kaynaklanan donuk alacak</w:t>
      </w:r>
      <w:r>
        <w:rPr>
          <w:b/>
          <w:bCs/>
          <w:sz w:val="22"/>
          <w:szCs w:val="22"/>
        </w:rPr>
        <w:t xml:space="preserve">lara ilişkin </w:t>
      </w:r>
      <w:r>
        <w:rPr>
          <w:b/>
          <w:bCs/>
          <w:sz w:val="22"/>
          <w:szCs w:val="22"/>
        </w:rPr>
        <w:t>bilgiler:</w:t>
      </w:r>
    </w:p>
    <w:p>
      <w:pPr>
        <w:ind w:left="709"/>
        <w:jc w:val="both"/>
        <w:rPr>
          <w:sz w:val="22"/>
          <w:szCs w:val="22"/>
        </w:rPr>
      </w:pPr>
      <w:r>
        <w:rPr>
          <w:sz w:val="22"/>
          <w:szCs w:val="22"/>
        </w:rPr>
        <w:t>Banka</w:t>
      </w:r>
      <w:r>
        <w:rPr>
          <w:sz w:val="22"/>
          <w:szCs w:val="22"/>
        </w:rPr>
        <w:t>,</w:t>
      </w:r>
      <w:r>
        <w:rPr>
          <w:sz w:val="22"/>
          <w:szCs w:val="22"/>
        </w:rPr>
        <w:t xml:space="preserve"> Tekdüzen Hesap Planı ve İzahnamesi Hakkında Tebliğ’in Üçüncü Bölümü’nde Tasfiye Olunacak Alacaklar</w:t>
      </w:r>
      <w:r>
        <w:rPr>
          <w:sz w:val="22"/>
          <w:szCs w:val="22"/>
        </w:rPr>
        <w:t>,</w:t>
      </w:r>
      <w:r>
        <w:rPr>
          <w:sz w:val="22"/>
          <w:szCs w:val="22"/>
        </w:rPr>
        <w:t xml:space="preserve"> Tahsili Şüpheli Ücret Komisyon ve Diğer Alacaklar ile Zarar Niteliğindeki Krediler ve Diğer Alacaklara ilişkin düzenleme çerçevesinde</w:t>
      </w:r>
      <w:r>
        <w:rPr>
          <w:sz w:val="22"/>
          <w:szCs w:val="22"/>
        </w:rPr>
        <w:t>,</w:t>
      </w:r>
      <w:r>
        <w:rPr>
          <w:sz w:val="22"/>
          <w:szCs w:val="22"/>
        </w:rPr>
        <w:t xml:space="preserve"> donuk alacak haline gelen yabancı para kredileri takipteki krediler hesabına intikal ettikleri tarih</w:t>
      </w:r>
      <w:r>
        <w:rPr>
          <w:sz w:val="22"/>
          <w:szCs w:val="22"/>
        </w:rPr>
        <w:t>t</w:t>
      </w:r>
      <w:r>
        <w:rPr>
          <w:sz w:val="22"/>
          <w:szCs w:val="22"/>
        </w:rPr>
        <w:t xml:space="preserve">eki kurlar üzerinden Türk </w:t>
      </w:r>
      <w:r>
        <w:rPr>
          <w:sz w:val="22"/>
          <w:szCs w:val="22"/>
        </w:rPr>
        <w:t>Lirası</w:t>
      </w:r>
      <w:r>
        <w:rPr>
          <w:sz w:val="22"/>
          <w:szCs w:val="22"/>
        </w:rPr>
        <w:t>’</w:t>
      </w:r>
      <w:r>
        <w:rPr>
          <w:sz w:val="22"/>
          <w:szCs w:val="22"/>
        </w:rPr>
        <w:t>na</w:t>
      </w:r>
      <w:r>
        <w:rPr>
          <w:sz w:val="22"/>
          <w:szCs w:val="22"/>
        </w:rPr>
        <w:t xml:space="preserve"> çev</w:t>
      </w:r>
      <w:r>
        <w:rPr>
          <w:sz w:val="22"/>
          <w:szCs w:val="22"/>
        </w:rPr>
        <w:t>i</w:t>
      </w:r>
      <w:r>
        <w:rPr>
          <w:sz w:val="22"/>
          <w:szCs w:val="22"/>
        </w:rPr>
        <w:t>rmekte ve bu tutarları üzerinden izlemektedir.</w:t>
      </w:r>
      <w:r>
        <w:rPr>
          <w:sz w:val="22"/>
          <w:szCs w:val="22"/>
        </w:rPr>
        <w:t xml:space="preserve"> </w:t>
      </w:r>
    </w:p>
    <w:p>
      <w:pPr>
        <w:jc w:val="both"/>
        <w:rPr>
          <w:b/>
          <w:bCs/>
          <w:sz w:val="22"/>
          <w:szCs w:val="22"/>
        </w:rPr>
      </w:pPr>
    </w:p>
    <w:p>
      <w:pPr>
        <w:jc w:val="both"/>
        <w:rPr>
          <w:b/>
          <w:bCs/>
          <w:sz w:val="22"/>
          <w:szCs w:val="22"/>
        </w:rPr>
      </w:pPr>
    </w:p>
    <w:p>
      <w:pPr>
        <w:spacing w:before="100" w:after="100"/>
        <w:jc w:val="both"/>
        <w:rPr>
          <w:b/>
          <w:bCs/>
          <w:sz w:val="22"/>
          <w:szCs w:val="22"/>
        </w:rPr>
      </w:pPr>
      <w:r>
        <w:rPr>
          <w:b/>
          <w:bCs/>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709"/>
        </w:tabs>
        <w:jc w:val="both"/>
        <w:rPr>
          <w:b/>
          <w:bCs/>
          <w:sz w:val="22"/>
          <w:szCs w:val="22"/>
        </w:rPr>
      </w:pPr>
      <w:r>
        <w:rPr>
          <w:b/>
          <w:bCs/>
          <w:sz w:val="22"/>
          <w:szCs w:val="22"/>
        </w:rPr>
        <w:t>5.</w:t>
      </w:r>
      <w:r>
        <w:rPr>
          <w:b/>
          <w:bCs/>
          <w:sz w:val="22"/>
          <w:szCs w:val="22"/>
        </w:rPr>
        <w:t>g</w:t>
      </w:r>
      <w:r>
        <w:rPr>
          <w:b/>
          <w:bCs/>
          <w:sz w:val="22"/>
          <w:szCs w:val="22"/>
        </w:rPr>
        <w:t>.4)</w:t>
      </w:r>
      <w:r>
        <w:rPr>
          <w:b/>
          <w:bCs/>
          <w:sz w:val="22"/>
          <w:szCs w:val="22"/>
        </w:rPr>
        <w:tab/>
      </w:r>
      <w:r>
        <w:rPr>
          <w:b/>
          <w:bCs/>
          <w:sz w:val="22"/>
          <w:szCs w:val="22"/>
        </w:rPr>
        <w:t xml:space="preserve">Donuk alacakların kullanıcı gruplarına göre brüt ve net tutarlarının gösterimi: </w:t>
      </w:r>
    </w:p>
    <w:p>
      <w:pPr>
        <w:jc w:val="both"/>
        <w:rPr>
          <w:b/>
          <w:bCs/>
        </w:rPr>
      </w:pPr>
    </w:p>
    <w:tbl>
      <w:tblPr>
        <w:tblW w:w="9100" w:type="dxa"/>
        <w:tblInd w:w="779" w:type="dxa"/>
        <w:tblCellMar>
          <w:left w:w="70" w:type="dxa"/>
          <w:right w:w="70" w:type="dxa"/>
        </w:tblCellMar>
        <w:tblLook w:val="0000"/>
      </w:tblPr>
      <w:tblGrid>
        <w:gridCol w:w="4678"/>
        <w:gridCol w:w="1474"/>
        <w:gridCol w:w="1474"/>
        <w:gridCol w:w="1474"/>
      </w:tblGrid>
      <w:tr>
        <w:trPr>
          <w:trHeight w:val="384"/>
        </w:trPr>
        <w:tc>
          <w:tcPr>
            <w:tcW w:w="4678"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III.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IV.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V. Grup</w:t>
            </w:r>
          </w:p>
        </w:tc>
      </w:tr>
      <w:tr>
        <w:trPr>
          <w:trHeight w:val="917"/>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 İmkanı Sınırlı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Krediler ve Diğer Alacaklar</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Cari Dönem (Net) (30.06.2011)</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2.532</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29.087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2.665</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78.861</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133</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49.774</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2.532</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29.087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2.532</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29.087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Önceki Dönem (Net)      (31.12.2010)</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50.798</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bl>
    <w:p>
      <w:pPr>
        <w:ind w:right="-114"/>
        <w:rPr>
          <w:b/>
          <w:bCs/>
          <w:sz w:val="22"/>
          <w:szCs w:val="22"/>
        </w:rPr>
      </w:pPr>
    </w:p>
    <w:p>
      <w:pPr>
        <w:ind w:right="-114"/>
        <w:rPr>
          <w:b/>
          <w:bCs/>
          <w:sz w:val="22"/>
          <w:szCs w:val="22"/>
        </w:rPr>
      </w:pPr>
      <w:r>
        <w:rPr>
          <w:b/>
          <w:bCs/>
          <w:sz w:val="22"/>
          <w:szCs w:val="22"/>
        </w:rPr>
        <w:t>5.</w:t>
      </w:r>
      <w:r>
        <w:rPr>
          <w:b/>
          <w:bCs/>
          <w:sz w:val="22"/>
          <w:szCs w:val="22"/>
        </w:rPr>
        <w:t>ğ</w:t>
      </w:r>
      <w:r>
        <w:rPr>
          <w:b/>
          <w:bCs/>
          <w:sz w:val="22"/>
          <w:szCs w:val="22"/>
        </w:rPr>
        <w:t>)</w:t>
      </w:r>
      <w:r>
        <w:rPr>
          <w:b/>
          <w:bCs/>
          <w:sz w:val="22"/>
          <w:szCs w:val="22"/>
        </w:rPr>
        <w:tab/>
      </w:r>
      <w:r>
        <w:rPr>
          <w:b/>
          <w:bCs/>
          <w:sz w:val="22"/>
          <w:szCs w:val="22"/>
        </w:rPr>
        <w:t>Zarar niteliğindeki krediler ve diğer alacaklar için belirlenen tasfiye politikasının ana hatları:</w:t>
      </w:r>
    </w:p>
    <w:p>
      <w:pPr>
        <w:ind w:right="-114"/>
        <w:rPr>
          <w:b/>
          <w:bCs/>
          <w:sz w:val="22"/>
          <w:szCs w:val="22"/>
        </w:rPr>
      </w:pPr>
    </w:p>
    <w:p>
      <w:pPr>
        <w:ind w:left="709"/>
        <w:jc w:val="both"/>
        <w:rPr>
          <w:sz w:val="22"/>
          <w:szCs w:val="22"/>
        </w:rPr>
      </w:pPr>
      <w:r>
        <w:rPr>
          <w:sz w:val="22"/>
          <w:szCs w:val="22"/>
        </w:rPr>
        <w:t>Bankalarca Karşılık Ayrılacak Kredilerin ve Diğer Alacakların Niteliklerinin Belirlenmesi ve Ayrılacak Karşılıklara İlişkin Esas ve Usuller Hakkında Yönetmeliğin dokuzuncu maddesinde yer alan teminat unsurlarından bulunması halinde</w:t>
      </w:r>
      <w:r>
        <w:rPr>
          <w:sz w:val="22"/>
          <w:szCs w:val="22"/>
        </w:rPr>
        <w:t>,</w:t>
      </w:r>
      <w:r>
        <w:rPr>
          <w:sz w:val="22"/>
          <w:szCs w:val="22"/>
        </w:rPr>
        <w:t xml:space="preserve"> bu unsurlar gerek idari gerek yasal girişimler sonucunda mümkün olan en kısa sürede paraya çevrilerek alacağın tasfiyesi sağlanmaktadır.</w:t>
      </w:r>
    </w:p>
    <w:p>
      <w:pPr>
        <w:ind w:left="709"/>
        <w:jc w:val="both"/>
        <w:rPr>
          <w:sz w:val="22"/>
          <w:szCs w:val="22"/>
        </w:rPr>
      </w:pPr>
    </w:p>
    <w:p>
      <w:pPr>
        <w:autoSpaceDE w:val="0"/>
        <w:autoSpaceDN w:val="0"/>
        <w:adjustRightInd w:val="0"/>
        <w:ind w:left="709"/>
        <w:jc w:val="both"/>
        <w:rPr>
          <w:sz w:val="22"/>
          <w:szCs w:val="22"/>
        </w:rPr>
      </w:pPr>
      <w:r>
        <w:rPr>
          <w:sz w:val="22"/>
          <w:szCs w:val="22"/>
        </w:rPr>
        <w:t>Teminat unsuru bulunmaması halinde ise</w:t>
      </w:r>
      <w:r>
        <w:rPr>
          <w:sz w:val="22"/>
          <w:szCs w:val="22"/>
        </w:rPr>
        <w:t>,</w:t>
      </w:r>
      <w:r>
        <w:rPr>
          <w:sz w:val="22"/>
          <w:szCs w:val="22"/>
        </w:rPr>
        <w:t xml:space="preserve"> borçlu hakkında aciz vesikası temin edilse de</w:t>
      </w:r>
      <w:r>
        <w:rPr>
          <w:sz w:val="22"/>
          <w:szCs w:val="22"/>
        </w:rPr>
        <w:t>,</w:t>
      </w:r>
      <w:r>
        <w:rPr>
          <w:sz w:val="22"/>
          <w:szCs w:val="22"/>
        </w:rPr>
        <w:t xml:space="preserve"> muhtelif dönemlerde yoğun istihbarat yapılarak ve sonradan edinilmiş mal varlığı tespitine çalışılarak hukuki takibe müracaat edilmektedir. </w:t>
      </w:r>
    </w:p>
    <w:p>
      <w:pPr>
        <w:autoSpaceDE w:val="0"/>
        <w:autoSpaceDN w:val="0"/>
        <w:adjustRightInd w:val="0"/>
        <w:ind w:left="709"/>
        <w:jc w:val="both"/>
        <w:rPr>
          <w:sz w:val="22"/>
          <w:szCs w:val="22"/>
        </w:rPr>
      </w:pPr>
    </w:p>
    <w:p>
      <w:pPr>
        <w:autoSpaceDE w:val="0"/>
        <w:autoSpaceDN w:val="0"/>
        <w:adjustRightInd w:val="0"/>
        <w:ind w:left="709"/>
        <w:jc w:val="both"/>
        <w:rPr>
          <w:b/>
          <w:bCs/>
          <w:i/>
          <w:iCs/>
        </w:rPr>
      </w:pPr>
      <w:r>
        <w:rPr>
          <w:sz w:val="22"/>
          <w:szCs w:val="22"/>
        </w:rPr>
        <w:t>Yasal takip işlemleri öncesinde ve sonrasında; alacaklısı olunan firmanın mali bilgileri konusunda Banka tarafından yapılacak incelemeler neticesinde yaşan</w:t>
      </w:r>
      <w:r>
        <w:rPr>
          <w:sz w:val="22"/>
          <w:szCs w:val="22"/>
        </w:rPr>
        <w:t>ıl</w:t>
      </w:r>
      <w:r>
        <w:rPr>
          <w:sz w:val="22"/>
          <w:szCs w:val="22"/>
        </w:rPr>
        <w:t>ması mümkün görülen ve ekonomiye kazandırılması halinde üretime katkıda bulunacağı kanaati hakim olan firmalarla ilgili olarak</w:t>
      </w:r>
      <w:r>
        <w:rPr>
          <w:sz w:val="22"/>
          <w:szCs w:val="22"/>
        </w:rPr>
        <w:t>,</w:t>
      </w:r>
      <w:r>
        <w:rPr>
          <w:sz w:val="22"/>
          <w:szCs w:val="22"/>
        </w:rPr>
        <w:t xml:space="preserve"> anlaşma yolu ile alacağın tasfiyesine çaba harcanmaktadır. </w:t>
      </w:r>
    </w:p>
    <w:p>
      <w:pPr>
        <w:pStyle w:val="BodyText3"/>
        <w:tabs>
          <w:tab w:val="clear" w:pos="539"/>
          <w:tab w:val="left" w:pos="540"/>
          <w:tab w:val="left" w:pos="720"/>
        </w:tabs>
        <w:jc w:val="both"/>
        <w:rPr>
          <w:b/>
          <w:bCs/>
          <w:i/>
          <w:iCs/>
          <w:sz w:val="22"/>
          <w:szCs w:val="22"/>
        </w:rPr>
      </w:pPr>
      <w:r>
        <w:rPr>
          <w:b/>
          <w:bCs/>
          <w:i/>
          <w:iCs/>
        </w:rPr>
        <w:br w:type="page"/>
      </w:r>
    </w:p>
    <w:p>
      <w:pPr>
        <w:pStyle w:val="Heading2"/>
        <w:tabs>
          <w:tab w:val="left" w:pos="567"/>
        </w:tabs>
        <w:spacing w:before="0"/>
        <w:ind w:left="567" w:hanging="567"/>
        <w:jc w:val="both"/>
        <w:rPr>
          <w:rFonts w:ascii="Times New Roman" w:hAnsi="Times New Roman"/>
          <w:i w:val="0"/>
          <w:sz w:val="22"/>
          <w:szCs w:val="22"/>
        </w:rPr>
      </w:pPr>
    </w:p>
    <w:p>
      <w:pPr>
        <w:pStyle w:val="Heading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pStyle w:val="BodyText3"/>
        <w:tabs>
          <w:tab w:val="clear" w:pos="539"/>
          <w:tab w:val="left" w:pos="540"/>
          <w:tab w:val="left" w:pos="720"/>
        </w:tabs>
        <w:jc w:val="both"/>
        <w:rPr>
          <w:b/>
          <w:bCs/>
          <w:i/>
          <w:iCs/>
          <w:sz w:val="22"/>
          <w:szCs w:val="22"/>
        </w:rPr>
      </w:pPr>
    </w:p>
    <w:p>
      <w:pPr>
        <w:pStyle w:val="BodyText3"/>
        <w:tabs>
          <w:tab w:val="clear" w:pos="539"/>
          <w:tab w:val="left" w:pos="567"/>
        </w:tabs>
        <w:jc w:val="both"/>
        <w:rPr>
          <w:b/>
          <w:bCs/>
          <w:iCs/>
          <w:sz w:val="22"/>
          <w:szCs w:val="22"/>
        </w:rPr>
      </w:pPr>
      <w:r>
        <w:rPr>
          <w:b/>
          <w:bCs/>
          <w:iCs/>
          <w:sz w:val="22"/>
          <w:szCs w:val="22"/>
        </w:rPr>
        <w:t>5.</w:t>
      </w:r>
      <w:r>
        <w:rPr>
          <w:b/>
          <w:bCs/>
          <w:iCs/>
          <w:sz w:val="22"/>
          <w:szCs w:val="22"/>
        </w:rPr>
        <w:t>h</w:t>
      </w:r>
      <w:r>
        <w:rPr>
          <w:b/>
          <w:bCs/>
          <w:iCs/>
          <w:sz w:val="22"/>
          <w:szCs w:val="22"/>
        </w:rPr>
        <w:t>)</w:t>
      </w:r>
      <w:r>
        <w:rPr>
          <w:b/>
          <w:bCs/>
          <w:iCs/>
          <w:sz w:val="22"/>
          <w:szCs w:val="22"/>
        </w:rPr>
        <w:tab/>
      </w:r>
      <w:r>
        <w:rPr>
          <w:b/>
          <w:bCs/>
          <w:iCs/>
          <w:sz w:val="22"/>
          <w:szCs w:val="22"/>
        </w:rPr>
        <w:t>Aktiften silme politikasına ilişkin açıklamalar:</w:t>
      </w:r>
    </w:p>
    <w:p>
      <w:pPr>
        <w:pStyle w:val="BodyText3"/>
        <w:tabs>
          <w:tab w:val="clear" w:pos="539"/>
          <w:tab w:val="left" w:pos="540"/>
        </w:tabs>
        <w:ind w:left="567"/>
        <w:jc w:val="both"/>
        <w:rPr>
          <w:iCs/>
          <w:sz w:val="22"/>
          <w:szCs w:val="22"/>
        </w:rPr>
      </w:pPr>
    </w:p>
    <w:p>
      <w:pPr>
        <w:pStyle w:val="BodyText3"/>
        <w:tabs>
          <w:tab w:val="clear" w:pos="539"/>
          <w:tab w:val="left" w:pos="630"/>
        </w:tabs>
        <w:ind w:left="567"/>
        <w:jc w:val="both"/>
        <w:rPr>
          <w:iCs/>
          <w:sz w:val="22"/>
          <w:szCs w:val="22"/>
        </w:rPr>
      </w:pPr>
      <w:r>
        <w:rPr>
          <w:iCs/>
          <w:sz w:val="22"/>
          <w:szCs w:val="22"/>
        </w:rPr>
        <w:t>Zarar niteliğindeki kredi veya alacak</w:t>
      </w:r>
      <w:r>
        <w:rPr>
          <w:iCs/>
          <w:sz w:val="22"/>
          <w:szCs w:val="22"/>
        </w:rPr>
        <w:t>,</w:t>
      </w:r>
      <w:r>
        <w:rPr>
          <w:iCs/>
          <w:sz w:val="22"/>
          <w:szCs w:val="22"/>
        </w:rPr>
        <w:t xml:space="preserve"> </w:t>
      </w:r>
      <w:r>
        <w:rPr>
          <w:iCs/>
          <w:sz w:val="22"/>
          <w:szCs w:val="22"/>
        </w:rPr>
        <w:t xml:space="preserve">teminatlar ilgili tebliğde belirtilen oranlarda düşüldükten sonra, </w:t>
      </w:r>
      <w:r>
        <w:rPr>
          <w:iCs/>
          <w:sz w:val="22"/>
          <w:szCs w:val="22"/>
        </w:rPr>
        <w:t>%100 karşılık ayrıldığı tarihten sonra kazai bir hükme ve kanaat verici bir vesikaya göre tahsil imkanı kalmadığı takdirde yönetim kurulu kararı ile aktiften silin</w:t>
      </w:r>
      <w:r>
        <w:rPr>
          <w:iCs/>
          <w:sz w:val="22"/>
          <w:szCs w:val="22"/>
        </w:rPr>
        <w:t>ebilmektedir</w:t>
      </w:r>
      <w:r>
        <w:rPr>
          <w:iCs/>
          <w:sz w:val="22"/>
          <w:szCs w:val="22"/>
        </w:rPr>
        <w:t>.</w:t>
      </w:r>
    </w:p>
    <w:p>
      <w:pPr>
        <w:tabs>
          <w:tab w:val="num" w:pos="2880"/>
        </w:tabs>
        <w:jc w:val="both"/>
        <w:rPr>
          <w:b/>
          <w:bCs/>
        </w:rPr>
      </w:pPr>
    </w:p>
    <w:p>
      <w:pPr>
        <w:tabs>
          <w:tab w:val="left" w:pos="540"/>
          <w:tab w:val="num" w:pos="2880"/>
        </w:tabs>
        <w:jc w:val="both"/>
        <w:rPr>
          <w:b/>
          <w:bCs/>
          <w:sz w:val="22"/>
          <w:szCs w:val="22"/>
        </w:rPr>
      </w:pPr>
      <w:r>
        <w:rPr>
          <w:b/>
          <w:bCs/>
          <w:sz w:val="22"/>
          <w:szCs w:val="22"/>
        </w:rPr>
        <w:t>6.</w:t>
      </w:r>
      <w:r>
        <w:rPr>
          <w:b/>
          <w:bCs/>
          <w:sz w:val="22"/>
          <w:szCs w:val="22"/>
        </w:rPr>
        <w:tab/>
      </w:r>
      <w:r>
        <w:rPr>
          <w:b/>
          <w:bCs/>
          <w:sz w:val="22"/>
          <w:szCs w:val="22"/>
        </w:rPr>
        <w:t>Vadeye kadar elde tutulacak yatırımlar:</w:t>
      </w:r>
    </w:p>
    <w:p>
      <w:pPr>
        <w:tabs>
          <w:tab w:val="num" w:pos="2880"/>
        </w:tabs>
        <w:ind w:left="567"/>
        <w:jc w:val="both"/>
        <w:rPr>
          <w:b/>
          <w:bCs/>
          <w:sz w:val="22"/>
          <w:szCs w:val="22"/>
        </w:rPr>
      </w:pPr>
    </w:p>
    <w:p>
      <w:pPr>
        <w:ind w:left="567" w:hanging="567"/>
        <w:jc w:val="both"/>
        <w:rPr>
          <w:b/>
          <w:bCs/>
          <w:sz w:val="22"/>
          <w:szCs w:val="22"/>
        </w:rPr>
      </w:pPr>
      <w:r>
        <w:rPr>
          <w:b/>
          <w:bCs/>
          <w:sz w:val="22"/>
          <w:szCs w:val="22"/>
        </w:rPr>
        <w:t>6.a)</w:t>
      </w:r>
      <w:r>
        <w:rPr>
          <w:b/>
          <w:bCs/>
          <w:sz w:val="22"/>
          <w:szCs w:val="22"/>
        </w:rPr>
        <w:tab/>
      </w:r>
      <w:r>
        <w:rPr>
          <w:b/>
          <w:bCs/>
          <w:sz w:val="22"/>
          <w:szCs w:val="22"/>
        </w:rPr>
        <w:t xml:space="preserve">Repo işlemlerine konu olanlar ve teminata verilen / bloke edilenlere ilişkin </w:t>
      </w:r>
      <w:r>
        <w:rPr>
          <w:b/>
          <w:bCs/>
          <w:sz w:val="22"/>
          <w:szCs w:val="22"/>
        </w:rPr>
        <w:t>bilgiler</w:t>
      </w:r>
      <w:r>
        <w:rPr>
          <w:b/>
          <w:bCs/>
          <w:sz w:val="22"/>
          <w:szCs w:val="22"/>
        </w:rPr>
        <w:t xml:space="preserve"> karşılaştırmalı olarak net değerleri:</w:t>
      </w:r>
    </w:p>
    <w:p>
      <w:pPr>
        <w:ind w:left="567"/>
        <w:rPr>
          <w:sz w:val="22"/>
          <w:szCs w:val="22"/>
        </w:rPr>
      </w:pPr>
    </w:p>
    <w:p>
      <w:pPr>
        <w:tabs>
          <w:tab w:val="left" w:pos="567"/>
        </w:tabs>
        <w:jc w:val="both"/>
        <w:rPr>
          <w:iCs/>
          <w:sz w:val="22"/>
          <w:szCs w:val="22"/>
        </w:rPr>
      </w:pPr>
      <w:r>
        <w:rPr>
          <w:iCs/>
          <w:sz w:val="22"/>
          <w:szCs w:val="22"/>
        </w:rPr>
        <w:t xml:space="preserve">a.1) </w:t>
      </w:r>
      <w:r>
        <w:rPr>
          <w:iCs/>
          <w:sz w:val="22"/>
          <w:szCs w:val="22"/>
        </w:rPr>
        <w:tab/>
      </w:r>
      <w:r>
        <w:rPr>
          <w:iCs/>
          <w:sz w:val="22"/>
          <w:szCs w:val="22"/>
        </w:rPr>
        <w:t xml:space="preserve">Repo işlemlerine konu olan vadeye kadar elde tutulacak menkul değerler: </w:t>
      </w:r>
    </w:p>
    <w:p>
      <w:pPr>
        <w:tabs>
          <w:tab w:val="left" w:pos="567"/>
        </w:tabs>
        <w:ind w:left="709" w:hanging="142"/>
        <w:jc w:val="both"/>
        <w:rPr>
          <w:iCs/>
          <w:sz w:val="22"/>
          <w:szCs w:val="22"/>
        </w:rPr>
      </w:pPr>
    </w:p>
    <w:p>
      <w:pPr>
        <w:tabs>
          <w:tab w:val="left" w:pos="567"/>
        </w:tabs>
        <w:ind w:left="709" w:hanging="142"/>
        <w:jc w:val="both"/>
        <w:rPr>
          <w:iCs/>
          <w:sz w:val="22"/>
          <w:szCs w:val="22"/>
        </w:rPr>
      </w:pPr>
      <w:r>
        <w:rPr>
          <w:iCs/>
          <w:sz w:val="22"/>
          <w:szCs w:val="22"/>
        </w:rPr>
        <w:t>Bulunmamaktadır.</w:t>
      </w:r>
    </w:p>
    <w:p>
      <w:pPr>
        <w:tabs>
          <w:tab w:val="left" w:pos="567"/>
        </w:tabs>
        <w:ind w:left="709" w:hanging="142"/>
        <w:jc w:val="both"/>
        <w:rPr>
          <w:iCs/>
          <w:sz w:val="22"/>
          <w:szCs w:val="22"/>
        </w:rPr>
      </w:pPr>
    </w:p>
    <w:p>
      <w:pPr>
        <w:ind w:left="567" w:hanging="567"/>
        <w:jc w:val="both"/>
        <w:rPr>
          <w:sz w:val="22"/>
          <w:szCs w:val="22"/>
        </w:rPr>
      </w:pPr>
      <w:r>
        <w:rPr>
          <w:sz w:val="22"/>
          <w:szCs w:val="22"/>
        </w:rPr>
        <w:t>a.2)</w:t>
      </w:r>
      <w:r>
        <w:rPr>
          <w:sz w:val="22"/>
          <w:szCs w:val="22"/>
        </w:rPr>
        <w:tab/>
      </w:r>
      <w:r>
        <w:rPr>
          <w:sz w:val="22"/>
          <w:szCs w:val="22"/>
        </w:rPr>
        <w:t>Teminata verilen/bloke edilen vadeye kadar elde tutulacak menkul değerler:</w:t>
      </w:r>
    </w:p>
    <w:p>
      <w:pPr>
        <w:jc w:val="both"/>
        <w:rPr>
          <w:sz w:val="22"/>
          <w:szCs w:val="22"/>
        </w:rPr>
      </w:pPr>
    </w:p>
    <w:tbl>
      <w:tblPr>
        <w:tblW w:w="9241" w:type="dxa"/>
        <w:tblInd w:w="648" w:type="dxa"/>
        <w:tblLook w:val="0000"/>
      </w:tblPr>
      <w:tblGrid>
        <w:gridCol w:w="4268"/>
        <w:gridCol w:w="1146"/>
        <w:gridCol w:w="1264"/>
        <w:gridCol w:w="1146"/>
        <w:gridCol w:w="1417"/>
      </w:tblGrid>
      <w:tr>
        <w:trPr>
          <w:trHeight w:val="290"/>
        </w:trPr>
        <w:tc>
          <w:tcPr>
            <w:tcW w:w="4268" w:type="dxa"/>
            <w:vMerge w:val="restart"/>
            <w:tcBorders>
              <w:top w:val="single" w:sz="4" w:space="0" w:color="auto"/>
              <w:left w:val="single" w:sz="4" w:space="0" w:color="auto"/>
              <w:bottom w:val="single" w:sz="4" w:space="0" w:color="000000"/>
              <w:right w:val="single" w:sz="4" w:space="0" w:color="auto"/>
            </w:tcBorders>
            <w:shd w:val="clear" w:color="auto" w:fill="auto"/>
          </w:tcPr>
          <w:p>
            <w:pPr>
              <w:jc w:val="center"/>
              <w:rPr>
                <w:sz w:val="18"/>
                <w:szCs w:val="18"/>
                <w:lang w:eastAsia="en-US"/>
              </w:rPr>
            </w:pPr>
            <w:r>
              <w:rPr>
                <w:sz w:val="18"/>
                <w:szCs w:val="18"/>
                <w:lang w:eastAsia="en-US"/>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w:t>
            </w:r>
            <w:r>
              <w:rPr>
                <w:b/>
                <w:bCs/>
                <w:sz w:val="18"/>
                <w:szCs w:val="18"/>
              </w:rPr>
              <w:t>201</w:t>
            </w:r>
            <w:r>
              <w:rPr>
                <w:b/>
                <w:bCs/>
                <w:sz w:val="18"/>
                <w:szCs w:val="18"/>
              </w:rPr>
              <w:t>1</w:t>
            </w:r>
            <w:r>
              <w:rPr>
                <w:b/>
                <w:bCs/>
                <w:sz w:val="18"/>
                <w:szCs w:val="18"/>
              </w:rPr>
              <w:t>)</w:t>
            </w:r>
          </w:p>
        </w:tc>
        <w:tc>
          <w:tcPr>
            <w:tcW w:w="2563"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Önceki Dönem </w:t>
            </w:r>
          </w:p>
          <w:p>
            <w:pPr>
              <w:jc w:val="center"/>
              <w:rPr>
                <w:bCs/>
                <w:sz w:val="18"/>
                <w:szCs w:val="18"/>
              </w:rPr>
            </w:pPr>
            <w:r>
              <w:rPr>
                <w:b/>
                <w:bCs/>
                <w:sz w:val="18"/>
                <w:szCs w:val="18"/>
              </w:rPr>
              <w:t xml:space="preserve"> (31.12.20</w:t>
            </w:r>
            <w:r>
              <w:rPr>
                <w:b/>
                <w:bCs/>
                <w:sz w:val="18"/>
                <w:szCs w:val="18"/>
              </w:rPr>
              <w:t>10</w:t>
            </w:r>
            <w:r>
              <w:rPr>
                <w:b/>
                <w:bCs/>
                <w:sz w:val="18"/>
                <w:szCs w:val="18"/>
              </w:rPr>
              <w:t>)</w:t>
            </w:r>
          </w:p>
        </w:tc>
      </w:tr>
      <w:tr>
        <w:trPr>
          <w:trHeight w:val="274"/>
        </w:trPr>
        <w:tc>
          <w:tcPr>
            <w:tcW w:w="4268" w:type="dxa"/>
            <w:vMerge/>
            <w:tcBorders>
              <w:top w:val="single" w:sz="4" w:space="0" w:color="auto"/>
              <w:left w:val="single" w:sz="4" w:space="0" w:color="auto"/>
              <w:bottom w:val="single" w:sz="4" w:space="0" w:color="000000"/>
              <w:right w:val="single" w:sz="4" w:space="0" w:color="auto"/>
            </w:tcBorders>
            <w:vAlign w:val="center"/>
          </w:tcPr>
          <w:p>
            <w:pPr>
              <w:rPr>
                <w:sz w:val="18"/>
                <w:szCs w:val="18"/>
                <w:lang w:eastAsia="en-US"/>
              </w:rPr>
            </w:pP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264"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417"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eastAsia="en-US"/>
              </w:rPr>
            </w:pPr>
            <w:r>
              <w:rPr>
                <w:sz w:val="18"/>
                <w:szCs w:val="18"/>
                <w:lang w:eastAsia="en-US"/>
              </w:rPr>
              <w:t>Bono</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da-DK" w:eastAsia="en-US"/>
              </w:rPr>
            </w:pPr>
            <w:r>
              <w:rPr>
                <w:sz w:val="18"/>
                <w:szCs w:val="18"/>
                <w:lang w:val="da-DK" w:eastAsia="en-US"/>
              </w:rPr>
              <w:t>Tahvil ve Benzeri Menkul Değerler</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24.47</w:t>
            </w:r>
            <w:r>
              <w:rPr>
                <w:sz w:val="18"/>
                <w:szCs w:val="18"/>
              </w:rPr>
              <w:t>5</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51.411</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en-US" w:eastAsia="en-US"/>
              </w:rPr>
            </w:pPr>
            <w:r>
              <w:rPr>
                <w:sz w:val="18"/>
                <w:szCs w:val="18"/>
                <w:lang w:val="en-US" w:eastAsia="en-US"/>
              </w:rPr>
              <w:t>Diğer</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 -</w:t>
            </w:r>
          </w:p>
        </w:tc>
        <w:tc>
          <w:tcPr>
            <w:tcW w:w="1417" w:type="dxa"/>
            <w:tcBorders>
              <w:top w:val="nil"/>
              <w:left w:val="nil"/>
              <w:bottom w:val="nil"/>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r>
              <w:rPr>
                <w:sz w:val="18"/>
                <w:szCs w:val="18"/>
                <w:lang w:val="en-US" w:eastAsia="en-US"/>
              </w:rPr>
              <w:t>Toplam</w:t>
            </w:r>
          </w:p>
        </w:tc>
        <w:tc>
          <w:tcPr>
            <w:tcW w:w="1146" w:type="dxa"/>
            <w:tcBorders>
              <w:top w:val="nil"/>
              <w:left w:val="single" w:sz="4" w:space="0" w:color="auto"/>
              <w:bottom w:val="single" w:sz="4" w:space="0" w:color="auto"/>
              <w:right w:val="single" w:sz="4" w:space="0" w:color="auto"/>
            </w:tcBorders>
            <w:shd w:val="clear" w:color="auto" w:fill="auto"/>
            <w:vAlign w:val="bottom"/>
          </w:tcPr>
          <w:p>
            <w:pPr>
              <w:jc w:val="right"/>
              <w:rPr>
                <w:sz w:val="18"/>
                <w:szCs w:val="18"/>
              </w:rPr>
            </w:pPr>
            <w:r>
              <w:rPr>
                <w:sz w:val="18"/>
                <w:szCs w:val="18"/>
              </w:rPr>
              <w:t>24.47</w:t>
            </w:r>
            <w:r>
              <w:rPr>
                <w:sz w:val="18"/>
                <w:szCs w:val="18"/>
              </w:rPr>
              <w:t>5</w:t>
            </w:r>
          </w:p>
        </w:tc>
        <w:tc>
          <w:tcPr>
            <w:tcW w:w="1264" w:type="dxa"/>
            <w:tcBorders>
              <w:top w:val="nil"/>
              <w:left w:val="nil"/>
              <w:bottom w:val="single" w:sz="4" w:space="0" w:color="auto"/>
              <w:right w:val="single" w:sz="4" w:space="0" w:color="auto"/>
            </w:tcBorders>
            <w:shd w:val="clear" w:color="auto" w:fill="auto"/>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51.411</w:t>
            </w:r>
          </w:p>
        </w:tc>
        <w:tc>
          <w:tcPr>
            <w:tcW w:w="1417"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w:t>
            </w:r>
          </w:p>
        </w:tc>
      </w:tr>
    </w:tbl>
    <w:p>
      <w:pPr>
        <w:tabs>
          <w:tab w:val="left" w:pos="567"/>
        </w:tabs>
        <w:ind w:left="709" w:hanging="142"/>
        <w:jc w:val="both"/>
        <w:rPr>
          <w:iCs/>
          <w:sz w:val="22"/>
          <w:szCs w:val="22"/>
        </w:rPr>
      </w:pPr>
    </w:p>
    <w:p>
      <w:pPr>
        <w:jc w:val="both"/>
        <w:rPr>
          <w:sz w:val="22"/>
          <w:szCs w:val="22"/>
        </w:rPr>
      </w:pPr>
    </w:p>
    <w:p>
      <w:pPr>
        <w:tabs>
          <w:tab w:val="left" w:pos="540"/>
        </w:tabs>
        <w:jc w:val="both"/>
        <w:rPr>
          <w:b/>
          <w:bCs/>
          <w:sz w:val="22"/>
          <w:szCs w:val="22"/>
        </w:rPr>
      </w:pPr>
      <w:r>
        <w:rPr>
          <w:b/>
          <w:bCs/>
          <w:sz w:val="22"/>
          <w:szCs w:val="22"/>
        </w:rPr>
        <w:t>6.b)</w:t>
      </w:r>
      <w:r>
        <w:rPr>
          <w:b/>
          <w:bCs/>
          <w:sz w:val="22"/>
          <w:szCs w:val="22"/>
        </w:rPr>
        <w:tab/>
      </w:r>
      <w:r>
        <w:rPr>
          <w:b/>
          <w:bCs/>
          <w:sz w:val="22"/>
          <w:szCs w:val="22"/>
        </w:rPr>
        <w:t>Vadeye kadar elde tutulacak devlet borçlanma senetlerine ilişkin bilgiler:</w:t>
      </w:r>
    </w:p>
    <w:p>
      <w:pPr>
        <w:jc w:val="both"/>
        <w:rPr>
          <w:b/>
          <w:bCs/>
          <w:sz w:val="16"/>
          <w:szCs w:val="16"/>
        </w:rPr>
      </w:pPr>
    </w:p>
    <w:tbl>
      <w:tblPr>
        <w:tblW w:w="9241" w:type="dxa"/>
        <w:tblInd w:w="610" w:type="dxa"/>
        <w:tblLayout w:type="fixed"/>
        <w:tblCellMar>
          <w:left w:w="70" w:type="dxa"/>
          <w:right w:w="70" w:type="dxa"/>
        </w:tblCellMar>
        <w:tblLook w:val="0000"/>
      </w:tblPr>
      <w:tblGrid>
        <w:gridCol w:w="4280"/>
        <w:gridCol w:w="2410"/>
        <w:gridCol w:w="2551"/>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Devlet Tahvili</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35.</w:t>
            </w:r>
            <w:r>
              <w:rPr>
                <w:sz w:val="18"/>
                <w:szCs w:val="18"/>
              </w:rPr>
              <w:t>824</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Hazine Bonosu</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Diğer Kamu Borçlanma Senetleri</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35.824</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ind w:left="567"/>
        <w:jc w:val="both"/>
        <w:rPr>
          <w:b/>
          <w:bCs/>
          <w:sz w:val="22"/>
          <w:szCs w:val="22"/>
        </w:rPr>
      </w:pPr>
    </w:p>
    <w:p>
      <w:pPr>
        <w:tabs>
          <w:tab w:val="left" w:pos="540"/>
        </w:tabs>
        <w:jc w:val="both"/>
        <w:rPr>
          <w:b/>
          <w:bCs/>
          <w:sz w:val="22"/>
          <w:szCs w:val="22"/>
        </w:rPr>
      </w:pPr>
      <w:r>
        <w:rPr>
          <w:b/>
          <w:bCs/>
          <w:sz w:val="22"/>
          <w:szCs w:val="22"/>
        </w:rPr>
        <w:t>6.c)</w:t>
      </w:r>
      <w:r>
        <w:rPr>
          <w:b/>
          <w:bCs/>
          <w:sz w:val="22"/>
          <w:szCs w:val="22"/>
        </w:rPr>
        <w:tab/>
      </w:r>
      <w:r>
        <w:rPr>
          <w:b/>
          <w:bCs/>
          <w:sz w:val="22"/>
          <w:szCs w:val="22"/>
        </w:rPr>
        <w:t xml:space="preserve">Vadeye kadar elde tutulacak yatırımlara ilişkin bilgiler: </w:t>
      </w:r>
    </w:p>
    <w:p>
      <w:pPr>
        <w:jc w:val="both"/>
        <w:rPr>
          <w:b/>
          <w:bCs/>
          <w:sz w:val="16"/>
          <w:szCs w:val="16"/>
        </w:rPr>
      </w:pPr>
    </w:p>
    <w:tbl>
      <w:tblPr>
        <w:tblW w:w="9241" w:type="dxa"/>
        <w:tblInd w:w="610" w:type="dxa"/>
        <w:tblLayout w:type="fixed"/>
        <w:tblCellMar>
          <w:left w:w="70" w:type="dxa"/>
          <w:right w:w="70" w:type="dxa"/>
        </w:tblCellMar>
        <w:tblLook w:val="0000"/>
      </w:tblPr>
      <w:tblGrid>
        <w:gridCol w:w="4280"/>
        <w:gridCol w:w="2410"/>
        <w:gridCol w:w="2551"/>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Borçlanma Senetleri</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58.071</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Görenler</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58.071</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Görmeyenler</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Değer Azalma Karşılığı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58.071</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tabs>
          <w:tab w:val="left" w:pos="567"/>
        </w:tabs>
        <w:ind w:left="567"/>
        <w:jc w:val="both"/>
        <w:rPr>
          <w:b/>
          <w:bCs/>
          <w:sz w:val="22"/>
          <w:szCs w:val="22"/>
        </w:rPr>
      </w:pPr>
    </w:p>
    <w:p>
      <w:pPr>
        <w:pStyle w:val="Heading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Heading2"/>
        <w:spacing w:before="0"/>
        <w:ind w:left="709"/>
        <w:jc w:val="both"/>
        <w:rPr>
          <w:rFonts w:ascii="Times New Roman" w:hAnsi="Times New Roman"/>
          <w:i w:val="0"/>
          <w:sz w:val="22"/>
          <w:szCs w:val="22"/>
        </w:rPr>
      </w:pPr>
    </w:p>
    <w:p>
      <w:pPr>
        <w:pStyle w:val="Heading2"/>
        <w:numPr>
          <w:ilvl w:val="0"/>
          <w:numId w:val="19"/>
        </w:numPr>
        <w:spacing w:before="0"/>
        <w:ind w:left="709" w:hanging="709"/>
        <w:jc w:val="both"/>
        <w:rPr>
          <w:rFonts w:ascii="Times New Roman" w:hAnsi="Times New Roman"/>
          <w:i w:val="0"/>
          <w:sz w:val="22"/>
          <w:szCs w:val="22"/>
        </w:rPr>
      </w:pPr>
      <w:r>
        <w:rPr>
          <w:rFonts w:ascii="Times New Roman" w:hAnsi="Times New Roman"/>
          <w:i w:val="0"/>
          <w:sz w:val="22"/>
          <w:szCs w:val="22"/>
        </w:rPr>
        <w:t>Bilançonun aktif hesaplarına ilişkin açıklama ve dipnotlar (devam ediyor):</w:t>
      </w:r>
    </w:p>
    <w:p>
      <w:pPr>
        <w:rPr>
          <w:sz w:val="22"/>
          <w:szCs w:val="22"/>
        </w:rPr>
      </w:pPr>
    </w:p>
    <w:p>
      <w:pPr>
        <w:jc w:val="both"/>
        <w:rPr>
          <w:b/>
          <w:bCs/>
          <w:sz w:val="22"/>
          <w:szCs w:val="22"/>
        </w:rPr>
      </w:pPr>
      <w:r>
        <w:rPr>
          <w:b/>
          <w:bCs/>
          <w:sz w:val="22"/>
          <w:szCs w:val="22"/>
        </w:rPr>
        <w:t>6</w:t>
      </w:r>
      <w:r>
        <w:rPr>
          <w:b/>
          <w:bCs/>
          <w:sz w:val="22"/>
          <w:szCs w:val="22"/>
        </w:rPr>
        <w:t>.ç)</w:t>
      </w:r>
      <w:r>
        <w:rPr>
          <w:b/>
          <w:bCs/>
          <w:sz w:val="22"/>
          <w:szCs w:val="22"/>
        </w:rPr>
        <w:tab/>
      </w:r>
      <w:r>
        <w:rPr>
          <w:b/>
          <w:bCs/>
          <w:sz w:val="22"/>
          <w:szCs w:val="22"/>
        </w:rPr>
        <w:t>Vadeye kadar elde tutulacak yatırımların yıl içindeki hareketleri:</w:t>
      </w:r>
    </w:p>
    <w:p>
      <w:pPr>
        <w:jc w:val="both"/>
        <w:rPr>
          <w:b/>
          <w:bCs/>
          <w:sz w:val="22"/>
          <w:szCs w:val="22"/>
        </w:rPr>
      </w:pPr>
    </w:p>
    <w:tbl>
      <w:tblPr>
        <w:tblW w:w="9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39"/>
        <w:gridCol w:w="2551"/>
        <w:gridCol w:w="2410"/>
      </w:tblGrid>
      <w:tr>
        <w:trPr>
          <w:trHeight w:val="300"/>
        </w:trPr>
        <w:tc>
          <w:tcPr>
            <w:tcW w:w="4139" w:type="dxa"/>
            <w:shd w:val="clear" w:color="000000" w:fill="FFFFFF"/>
            <w:noWrap/>
            <w:vAlign w:val="bottom"/>
            <w:hideMark/>
          </w:tcPr>
          <w:p>
            <w:pPr>
              <w:rPr>
                <w:rFonts w:ascii="Arial" w:hAnsi="Arial" w:cs="Arial"/>
                <w:sz w:val="18"/>
                <w:szCs w:val="18"/>
              </w:rPr>
            </w:pPr>
            <w:r>
              <w:rPr>
                <w:rFonts w:ascii="Arial" w:hAnsi="Arial" w:cs="Arial"/>
                <w:sz w:val="18"/>
                <w:szCs w:val="18"/>
              </w:rPr>
              <w:t> </w:t>
            </w:r>
          </w:p>
        </w:tc>
        <w:tc>
          <w:tcPr>
            <w:tcW w:w="2551" w:type="dxa"/>
            <w:shd w:val="clear" w:color="000000" w:fill="FFFFFF"/>
            <w:noWrap/>
            <w:vAlign w:val="bottom"/>
            <w:hideMark/>
          </w:tcPr>
          <w:p>
            <w:pPr>
              <w:jc w:val="center"/>
              <w:rPr>
                <w:b/>
                <w:bCs/>
                <w:sz w:val="18"/>
                <w:szCs w:val="18"/>
              </w:rPr>
            </w:pPr>
            <w:r>
              <w:rPr>
                <w:b/>
                <w:bCs/>
                <w:sz w:val="18"/>
                <w:szCs w:val="18"/>
              </w:rPr>
              <w:t xml:space="preserve">Cari Dönem  </w:t>
            </w:r>
          </w:p>
          <w:p>
            <w:pPr>
              <w:jc w:val="center"/>
              <w:rPr>
                <w:rFonts w:ascii="Arial" w:hAnsi="Arial" w:cs="Arial"/>
                <w:sz w:val="18"/>
                <w:szCs w:val="18"/>
              </w:rPr>
            </w:pPr>
            <w:r>
              <w:rPr>
                <w:b/>
                <w:bCs/>
                <w:sz w:val="18"/>
                <w:szCs w:val="18"/>
              </w:rPr>
              <w:t>(3</w:t>
            </w:r>
            <w:r>
              <w:rPr>
                <w:b/>
                <w:bCs/>
                <w:sz w:val="18"/>
                <w:szCs w:val="18"/>
              </w:rPr>
              <w:t>0</w:t>
            </w:r>
            <w:r>
              <w:rPr>
                <w:b/>
                <w:bCs/>
                <w:sz w:val="18"/>
                <w:szCs w:val="18"/>
              </w:rPr>
              <w:t>.</w:t>
            </w:r>
            <w:r>
              <w:rPr>
                <w:b/>
                <w:bCs/>
                <w:sz w:val="18"/>
                <w:szCs w:val="18"/>
              </w:rPr>
              <w:t>0</w:t>
            </w:r>
            <w:r>
              <w:rPr>
                <w:b/>
                <w:bCs/>
                <w:sz w:val="18"/>
                <w:szCs w:val="18"/>
              </w:rPr>
              <w:t>6</w:t>
            </w:r>
            <w:r>
              <w:rPr>
                <w:b/>
                <w:bCs/>
                <w:sz w:val="18"/>
                <w:szCs w:val="18"/>
              </w:rPr>
              <w:t>.201</w:t>
            </w:r>
            <w:r>
              <w:rPr>
                <w:b/>
                <w:bCs/>
                <w:sz w:val="18"/>
                <w:szCs w:val="18"/>
              </w:rPr>
              <w:t>1</w:t>
            </w:r>
            <w:r>
              <w:rPr>
                <w:b/>
                <w:bCs/>
                <w:sz w:val="18"/>
                <w:szCs w:val="18"/>
              </w:rPr>
              <w:t>)</w:t>
            </w:r>
          </w:p>
        </w:tc>
        <w:tc>
          <w:tcPr>
            <w:tcW w:w="2410" w:type="dxa"/>
            <w:shd w:val="clear" w:color="000000" w:fill="FFFFFF"/>
            <w:noWrap/>
            <w:vAlign w:val="bottom"/>
            <w:hideMark/>
          </w:tcPr>
          <w:p>
            <w:pPr>
              <w:jc w:val="center"/>
              <w:rPr>
                <w:b/>
                <w:bCs/>
                <w:sz w:val="18"/>
                <w:szCs w:val="18"/>
              </w:rPr>
            </w:pPr>
            <w:r>
              <w:rPr>
                <w:b/>
                <w:bCs/>
                <w:sz w:val="18"/>
                <w:szCs w:val="18"/>
              </w:rPr>
              <w:t xml:space="preserve">Önceki Dönem </w:t>
            </w:r>
          </w:p>
          <w:p>
            <w:pPr>
              <w:jc w:val="center"/>
              <w:rPr>
                <w:rFonts w:ascii="Arial" w:hAnsi="Arial" w:cs="Arial"/>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 xml:space="preserve">Dönem Başındaki Değer </w:t>
            </w:r>
          </w:p>
        </w:tc>
        <w:tc>
          <w:tcPr>
            <w:tcW w:w="2551" w:type="dxa"/>
            <w:shd w:val="clear" w:color="auto" w:fill="auto"/>
            <w:noWrap/>
            <w:vAlign w:val="bottom"/>
          </w:tcPr>
          <w:p>
            <w:pPr>
              <w:jc w:val="right"/>
              <w:rPr>
                <w:sz w:val="18"/>
                <w:szCs w:val="18"/>
              </w:rPr>
            </w:pPr>
            <w:r>
              <w:rPr>
                <w:sz w:val="18"/>
                <w:szCs w:val="18"/>
              </w:rPr>
              <w:t>51.411</w:t>
            </w:r>
          </w:p>
        </w:tc>
        <w:tc>
          <w:tcPr>
            <w:tcW w:w="2410" w:type="dxa"/>
            <w:shd w:val="clear" w:color="auto" w:fill="auto"/>
            <w:noWrap/>
            <w:vAlign w:val="bottom"/>
          </w:tcPr>
          <w:p>
            <w:pPr>
              <w:jc w:val="right"/>
              <w:rPr>
                <w:sz w:val="18"/>
                <w:szCs w:val="18"/>
              </w:rPr>
            </w:pPr>
            <w:r>
              <w:rPr>
                <w:sz w:val="18"/>
                <w:szCs w:val="18"/>
              </w:rPr>
              <w:t>80.369</w:t>
            </w:r>
          </w:p>
        </w:tc>
      </w:tr>
      <w:tr>
        <w:trPr>
          <w:trHeight w:val="255"/>
        </w:trPr>
        <w:tc>
          <w:tcPr>
            <w:tcW w:w="4139" w:type="dxa"/>
            <w:shd w:val="clear" w:color="000000" w:fill="FFFFFF"/>
            <w:noWrap/>
            <w:vAlign w:val="bottom"/>
            <w:hideMark/>
          </w:tcPr>
          <w:p>
            <w:pPr>
              <w:rPr>
                <w:sz w:val="18"/>
                <w:szCs w:val="18"/>
              </w:rPr>
            </w:pPr>
            <w:r>
              <w:rPr>
                <w:sz w:val="18"/>
                <w:szCs w:val="18"/>
              </w:rPr>
              <w:t xml:space="preserve">Parasal Varlıklarda Meydana Gelen Kur Farkları </w:t>
            </w:r>
          </w:p>
        </w:tc>
        <w:tc>
          <w:tcPr>
            <w:tcW w:w="2551" w:type="dxa"/>
            <w:shd w:val="clear" w:color="auto" w:fill="auto"/>
            <w:noWrap/>
            <w:vAlign w:val="bottom"/>
          </w:tcPr>
          <w:p>
            <w:pPr>
              <w:jc w:val="right"/>
              <w:rPr>
                <w:sz w:val="18"/>
                <w:szCs w:val="18"/>
              </w:rPr>
            </w:pPr>
            <w:r>
              <w:rPr>
                <w:sz w:val="18"/>
                <w:szCs w:val="18"/>
              </w:rPr>
              <w:t>-</w:t>
            </w:r>
            <w:r>
              <w:rPr>
                <w:sz w:val="18"/>
                <w:szCs w:val="18"/>
              </w:rPr>
              <w:t> </w:t>
            </w:r>
          </w:p>
        </w:tc>
        <w:tc>
          <w:tcPr>
            <w:tcW w:w="2410" w:type="dxa"/>
            <w:shd w:val="clear" w:color="auto" w:fill="auto"/>
            <w:noWrap/>
            <w:vAlign w:val="bottom"/>
          </w:tcPr>
          <w:p>
            <w:pPr>
              <w:jc w:val="right"/>
              <w:rPr>
                <w:sz w:val="18"/>
                <w:szCs w:val="18"/>
              </w:rPr>
            </w:pPr>
            <w:r>
              <w:rPr>
                <w:sz w:val="18"/>
                <w:szCs w:val="18"/>
              </w:rPr>
              <w:t>-</w:t>
            </w:r>
            <w:r>
              <w:rPr>
                <w:sz w:val="18"/>
                <w:szCs w:val="18"/>
              </w:rPr>
              <w:t> </w:t>
            </w:r>
          </w:p>
        </w:tc>
      </w:tr>
      <w:tr>
        <w:trPr>
          <w:trHeight w:val="255"/>
        </w:trPr>
        <w:tc>
          <w:tcPr>
            <w:tcW w:w="4139" w:type="dxa"/>
            <w:shd w:val="clear" w:color="000000" w:fill="FFFFFF"/>
            <w:noWrap/>
            <w:vAlign w:val="bottom"/>
            <w:hideMark/>
          </w:tcPr>
          <w:p>
            <w:pPr>
              <w:rPr>
                <w:sz w:val="18"/>
                <w:szCs w:val="18"/>
              </w:rPr>
            </w:pPr>
            <w:r>
              <w:rPr>
                <w:sz w:val="18"/>
                <w:szCs w:val="18"/>
              </w:rPr>
              <w:t>Yıl İçindeki Alımlar (*)</w:t>
            </w:r>
          </w:p>
        </w:tc>
        <w:tc>
          <w:tcPr>
            <w:tcW w:w="2551" w:type="dxa"/>
            <w:shd w:val="clear" w:color="auto" w:fill="auto"/>
            <w:noWrap/>
            <w:vAlign w:val="bottom"/>
          </w:tcPr>
          <w:p>
            <w:pPr>
              <w:jc w:val="right"/>
              <w:rPr>
                <w:sz w:val="18"/>
                <w:szCs w:val="18"/>
              </w:rPr>
            </w:pPr>
            <w:r>
              <w:rPr>
                <w:sz w:val="18"/>
                <w:szCs w:val="18"/>
              </w:rPr>
              <w:t>33</w:t>
            </w:r>
            <w:r>
              <w:rPr>
                <w:sz w:val="18"/>
                <w:szCs w:val="18"/>
              </w:rPr>
              <w:t>.</w:t>
            </w:r>
            <w:r>
              <w:rPr>
                <w:sz w:val="18"/>
                <w:szCs w:val="18"/>
              </w:rPr>
              <w:t>102</w:t>
            </w:r>
          </w:p>
        </w:tc>
        <w:tc>
          <w:tcPr>
            <w:tcW w:w="2410" w:type="dxa"/>
            <w:shd w:val="clear" w:color="auto" w:fill="auto"/>
            <w:noWrap/>
            <w:vAlign w:val="bottom"/>
          </w:tcPr>
          <w:p>
            <w:pPr>
              <w:jc w:val="right"/>
              <w:rPr>
                <w:sz w:val="18"/>
                <w:szCs w:val="18"/>
              </w:rPr>
            </w:pPr>
            <w:r>
              <w:rPr>
                <w:sz w:val="18"/>
                <w:szCs w:val="18"/>
              </w:rPr>
              <w:t>34.839</w:t>
            </w:r>
          </w:p>
        </w:tc>
      </w:tr>
      <w:tr>
        <w:trPr>
          <w:trHeight w:val="255"/>
        </w:trPr>
        <w:tc>
          <w:tcPr>
            <w:tcW w:w="4139" w:type="dxa"/>
            <w:shd w:val="clear" w:color="000000" w:fill="FFFFFF"/>
            <w:noWrap/>
            <w:vAlign w:val="bottom"/>
            <w:hideMark/>
          </w:tcPr>
          <w:p>
            <w:pPr>
              <w:rPr>
                <w:sz w:val="18"/>
                <w:szCs w:val="18"/>
              </w:rPr>
            </w:pPr>
            <w:r>
              <w:rPr>
                <w:sz w:val="18"/>
                <w:szCs w:val="18"/>
              </w:rPr>
              <w:t>Satış ve İtfa Yoluyla Elden Çıkarılanlar (*)</w:t>
            </w:r>
          </w:p>
        </w:tc>
        <w:tc>
          <w:tcPr>
            <w:tcW w:w="2551" w:type="dxa"/>
            <w:shd w:val="clear" w:color="auto" w:fill="auto"/>
            <w:noWrap/>
            <w:vAlign w:val="bottom"/>
          </w:tcPr>
          <w:p>
            <w:pPr>
              <w:jc w:val="right"/>
              <w:rPr>
                <w:sz w:val="18"/>
                <w:szCs w:val="18"/>
              </w:rPr>
            </w:pPr>
            <w:r>
              <w:rPr>
                <w:sz w:val="18"/>
                <w:szCs w:val="18"/>
              </w:rPr>
              <w:t>(</w:t>
            </w:r>
            <w:r>
              <w:rPr>
                <w:sz w:val="18"/>
                <w:szCs w:val="18"/>
              </w:rPr>
              <w:t>26.442</w:t>
            </w:r>
            <w:r>
              <w:rPr>
                <w:sz w:val="18"/>
                <w:szCs w:val="18"/>
              </w:rPr>
              <w:t>)</w:t>
            </w:r>
          </w:p>
        </w:tc>
        <w:tc>
          <w:tcPr>
            <w:tcW w:w="2410" w:type="dxa"/>
            <w:shd w:val="clear" w:color="auto" w:fill="auto"/>
            <w:noWrap/>
            <w:vAlign w:val="bottom"/>
          </w:tcPr>
          <w:p>
            <w:pPr>
              <w:jc w:val="right"/>
              <w:rPr>
                <w:sz w:val="18"/>
                <w:szCs w:val="18"/>
              </w:rPr>
            </w:pPr>
            <w:r>
              <w:rPr>
                <w:sz w:val="18"/>
                <w:szCs w:val="18"/>
              </w:rPr>
              <w:t>(63.797)</w:t>
            </w:r>
          </w:p>
        </w:tc>
      </w:tr>
      <w:tr>
        <w:trPr>
          <w:trHeight w:val="255"/>
        </w:trPr>
        <w:tc>
          <w:tcPr>
            <w:tcW w:w="4139" w:type="dxa"/>
            <w:shd w:val="clear" w:color="000000" w:fill="FFFFFF"/>
            <w:noWrap/>
            <w:vAlign w:val="bottom"/>
            <w:hideMark/>
          </w:tcPr>
          <w:p>
            <w:pPr>
              <w:rPr>
                <w:sz w:val="18"/>
                <w:szCs w:val="18"/>
              </w:rPr>
            </w:pPr>
            <w:r>
              <w:rPr>
                <w:sz w:val="18"/>
                <w:szCs w:val="18"/>
              </w:rPr>
              <w:t>Değer Azalışı Karşılığı (-)</w:t>
            </w:r>
          </w:p>
        </w:tc>
        <w:tc>
          <w:tcPr>
            <w:tcW w:w="2551" w:type="dxa"/>
            <w:shd w:val="clear" w:color="auto" w:fill="auto"/>
            <w:noWrap/>
            <w:vAlign w:val="bottom"/>
          </w:tcPr>
          <w:p>
            <w:pPr>
              <w:jc w:val="right"/>
              <w:rPr>
                <w:sz w:val="18"/>
                <w:szCs w:val="18"/>
              </w:rPr>
            </w:pPr>
            <w:r>
              <w:rPr>
                <w:sz w:val="18"/>
                <w:szCs w:val="18"/>
              </w:rPr>
              <w:t>-</w:t>
            </w:r>
            <w:r>
              <w:rPr>
                <w:sz w:val="18"/>
                <w:szCs w:val="18"/>
              </w:rPr>
              <w:t> </w:t>
            </w:r>
          </w:p>
        </w:tc>
        <w:tc>
          <w:tcPr>
            <w:tcW w:w="2410" w:type="dxa"/>
            <w:shd w:val="clear" w:color="auto" w:fill="auto"/>
            <w:noWrap/>
            <w:vAlign w:val="bottom"/>
          </w:tcPr>
          <w:p>
            <w:pPr>
              <w:jc w:val="right"/>
              <w:rPr>
                <w:sz w:val="18"/>
                <w:szCs w:val="18"/>
              </w:rPr>
            </w:pPr>
            <w:r>
              <w:rPr>
                <w:sz w:val="18"/>
                <w:szCs w:val="18"/>
              </w:rPr>
              <w:t>-</w:t>
            </w:r>
            <w:r>
              <w:rPr>
                <w:sz w:val="18"/>
                <w:szCs w:val="18"/>
              </w:rPr>
              <w:t> </w:t>
            </w:r>
          </w:p>
        </w:tc>
      </w:tr>
      <w:tr>
        <w:trPr>
          <w:trHeight w:val="255"/>
        </w:trPr>
        <w:tc>
          <w:tcPr>
            <w:tcW w:w="4139" w:type="dxa"/>
            <w:shd w:val="clear" w:color="000000" w:fill="FFFFFF"/>
            <w:noWrap/>
            <w:vAlign w:val="bottom"/>
            <w:hideMark/>
          </w:tcPr>
          <w:p>
            <w:pPr>
              <w:rPr>
                <w:sz w:val="18"/>
                <w:szCs w:val="18"/>
              </w:rPr>
            </w:pPr>
            <w:r>
              <w:rPr>
                <w:sz w:val="18"/>
                <w:szCs w:val="18"/>
              </w:rPr>
              <w:t>Dönem Sonu Toplamı</w:t>
            </w:r>
          </w:p>
        </w:tc>
        <w:tc>
          <w:tcPr>
            <w:tcW w:w="2551" w:type="dxa"/>
            <w:shd w:val="clear" w:color="auto" w:fill="auto"/>
            <w:noWrap/>
            <w:vAlign w:val="bottom"/>
          </w:tcPr>
          <w:p>
            <w:pPr>
              <w:jc w:val="right"/>
              <w:rPr>
                <w:sz w:val="18"/>
                <w:szCs w:val="18"/>
              </w:rPr>
            </w:pPr>
            <w:r>
              <w:rPr>
                <w:sz w:val="18"/>
                <w:szCs w:val="18"/>
              </w:rPr>
              <w:t>58.071</w:t>
            </w:r>
          </w:p>
        </w:tc>
        <w:tc>
          <w:tcPr>
            <w:tcW w:w="2410" w:type="dxa"/>
            <w:shd w:val="clear" w:color="auto" w:fill="auto"/>
            <w:noWrap/>
            <w:vAlign w:val="bottom"/>
          </w:tcPr>
          <w:p>
            <w:pPr>
              <w:jc w:val="right"/>
              <w:rPr>
                <w:sz w:val="18"/>
                <w:szCs w:val="18"/>
              </w:rPr>
            </w:pPr>
            <w:r>
              <w:rPr>
                <w:sz w:val="18"/>
                <w:szCs w:val="18"/>
              </w:rPr>
              <w:t>51.411</w:t>
            </w:r>
          </w:p>
        </w:tc>
      </w:tr>
    </w:tbl>
    <w:p>
      <w:pPr>
        <w:jc w:val="both"/>
        <w:rPr>
          <w:b/>
          <w:bCs/>
          <w:sz w:val="12"/>
          <w:szCs w:val="12"/>
        </w:rPr>
      </w:pPr>
    </w:p>
    <w:p>
      <w:pPr>
        <w:ind w:left="1134" w:hanging="425"/>
        <w:jc w:val="both"/>
        <w:rPr>
          <w:bCs/>
          <w:sz w:val="18"/>
          <w:szCs w:val="18"/>
        </w:rPr>
      </w:pPr>
      <w:r>
        <w:rPr>
          <w:bCs/>
          <w:sz w:val="18"/>
          <w:szCs w:val="18"/>
        </w:rPr>
        <w:t>(*)</w:t>
      </w:r>
      <w:r>
        <w:rPr>
          <w:bCs/>
          <w:sz w:val="18"/>
          <w:szCs w:val="18"/>
        </w:rPr>
        <w:tab/>
      </w:r>
      <w:r>
        <w:rPr>
          <w:bCs/>
          <w:sz w:val="18"/>
          <w:szCs w:val="18"/>
        </w:rPr>
        <w:t>Yıl içindeki alımlar</w:t>
      </w:r>
      <w:r>
        <w:rPr>
          <w:bCs/>
          <w:sz w:val="18"/>
          <w:szCs w:val="18"/>
        </w:rPr>
        <w:t xml:space="preserve"> 1.885</w:t>
      </w:r>
      <w:r>
        <w:rPr>
          <w:bCs/>
          <w:sz w:val="18"/>
          <w:szCs w:val="18"/>
        </w:rPr>
        <w:t xml:space="preserve"> Bin TL </w:t>
      </w:r>
      <w:r>
        <w:rPr>
          <w:bCs/>
          <w:sz w:val="18"/>
          <w:szCs w:val="18"/>
        </w:rPr>
        <w:t xml:space="preserve">(31 Aralık </w:t>
      </w:r>
      <w:r>
        <w:rPr>
          <w:bCs/>
          <w:sz w:val="18"/>
          <w:szCs w:val="18"/>
        </w:rPr>
        <w:t xml:space="preserve">2010:3.881 Bin TL) </w:t>
      </w:r>
      <w:r>
        <w:rPr>
          <w:bCs/>
          <w:sz w:val="18"/>
          <w:szCs w:val="18"/>
        </w:rPr>
        <w:t xml:space="preserve">tutarındaki reeskont farkını, yıl içindeki çıkışlar ise </w:t>
      </w:r>
      <w:r>
        <w:rPr>
          <w:bCs/>
          <w:sz w:val="18"/>
          <w:szCs w:val="18"/>
        </w:rPr>
        <w:t>3</w:t>
      </w:r>
      <w:r>
        <w:rPr>
          <w:bCs/>
          <w:sz w:val="18"/>
          <w:szCs w:val="18"/>
        </w:rPr>
        <w:t>.</w:t>
      </w:r>
      <w:r>
        <w:rPr>
          <w:bCs/>
          <w:sz w:val="18"/>
          <w:szCs w:val="18"/>
        </w:rPr>
        <w:t>91</w:t>
      </w:r>
      <w:r>
        <w:rPr>
          <w:bCs/>
          <w:sz w:val="18"/>
          <w:szCs w:val="18"/>
        </w:rPr>
        <w:t>2</w:t>
      </w:r>
      <w:r>
        <w:rPr>
          <w:bCs/>
          <w:sz w:val="18"/>
          <w:szCs w:val="18"/>
        </w:rPr>
        <w:t xml:space="preserve"> Bin TL </w:t>
      </w:r>
      <w:r>
        <w:rPr>
          <w:bCs/>
          <w:sz w:val="18"/>
          <w:szCs w:val="18"/>
        </w:rPr>
        <w:t xml:space="preserve">(31 Aralık </w:t>
      </w:r>
      <w:r>
        <w:rPr>
          <w:bCs/>
          <w:sz w:val="18"/>
          <w:szCs w:val="18"/>
        </w:rPr>
        <w:t xml:space="preserve">2010: 8.426 Bin TL) </w:t>
      </w:r>
      <w:r>
        <w:rPr>
          <w:bCs/>
          <w:sz w:val="18"/>
          <w:szCs w:val="18"/>
        </w:rPr>
        <w:t>tutarı</w:t>
      </w:r>
      <w:r>
        <w:rPr>
          <w:bCs/>
          <w:sz w:val="18"/>
          <w:szCs w:val="18"/>
        </w:rPr>
        <w:t xml:space="preserve">ndaki reeskont </w:t>
      </w:r>
      <w:r>
        <w:rPr>
          <w:bCs/>
          <w:sz w:val="18"/>
          <w:szCs w:val="18"/>
        </w:rPr>
        <w:t>farkını içermektedir.</w:t>
      </w:r>
    </w:p>
    <w:p>
      <w:pPr>
        <w:jc w:val="both"/>
        <w:rPr>
          <w:b/>
          <w:bCs/>
          <w:sz w:val="12"/>
          <w:szCs w:val="12"/>
        </w:rPr>
      </w:pPr>
    </w:p>
    <w:p>
      <w:pPr>
        <w:pStyle w:val="BodyTextIndent"/>
        <w:ind w:firstLine="0"/>
        <w:rPr>
          <w:b/>
          <w:bCs/>
          <w:sz w:val="22"/>
          <w:szCs w:val="22"/>
        </w:rPr>
      </w:pPr>
      <w:r>
        <w:rPr>
          <w:b/>
          <w:bCs/>
          <w:sz w:val="22"/>
          <w:szCs w:val="22"/>
        </w:rPr>
        <w:t>7.</w:t>
      </w:r>
      <w:r>
        <w:rPr>
          <w:b/>
          <w:bCs/>
          <w:sz w:val="22"/>
          <w:szCs w:val="22"/>
        </w:rPr>
        <w:tab/>
      </w:r>
      <w:r>
        <w:rPr>
          <w:b/>
          <w:bCs/>
          <w:sz w:val="22"/>
          <w:szCs w:val="22"/>
        </w:rPr>
        <w:t xml:space="preserve">İştiraklere ilişkin bilgiler (Net): </w:t>
      </w:r>
    </w:p>
    <w:p>
      <w:pPr>
        <w:pStyle w:val="BodyTextIndent"/>
        <w:ind w:left="567" w:firstLine="0"/>
        <w:rPr>
          <w:b/>
          <w:bCs/>
          <w:sz w:val="22"/>
          <w:szCs w:val="22"/>
        </w:rPr>
      </w:pPr>
    </w:p>
    <w:p>
      <w:pPr>
        <w:jc w:val="both"/>
        <w:rPr>
          <w:b/>
          <w:bCs/>
          <w:noProof/>
          <w:sz w:val="22"/>
          <w:szCs w:val="22"/>
        </w:rPr>
      </w:pPr>
    </w:p>
    <w:p>
      <w:pPr>
        <w:jc w:val="both"/>
        <w:rPr>
          <w:b/>
          <w:bCs/>
          <w:noProof/>
          <w:sz w:val="22"/>
          <w:szCs w:val="22"/>
        </w:rPr>
      </w:pPr>
      <w:r>
        <w:rPr>
          <w:b/>
          <w:bCs/>
          <w:noProof/>
          <w:sz w:val="22"/>
          <w:szCs w:val="22"/>
        </w:rPr>
        <w:t>7.a.</w:t>
      </w:r>
      <w:r>
        <w:rPr>
          <w:b/>
          <w:bCs/>
          <w:noProof/>
          <w:sz w:val="22"/>
          <w:szCs w:val="22"/>
        </w:rPr>
        <w:tab/>
      </w:r>
      <w:r>
        <w:rPr>
          <w:b/>
          <w:bCs/>
          <w:noProof/>
          <w:sz w:val="22"/>
          <w:szCs w:val="22"/>
        </w:rPr>
        <w:t>İ</w:t>
      </w:r>
      <w:r>
        <w:rPr>
          <w:b/>
          <w:bCs/>
          <w:noProof/>
          <w:sz w:val="22"/>
          <w:szCs w:val="22"/>
        </w:rPr>
        <w:t>ştiraklere ilişkin</w:t>
      </w:r>
      <w:r>
        <w:rPr>
          <w:b/>
          <w:bCs/>
          <w:noProof/>
          <w:sz w:val="22"/>
          <w:szCs w:val="22"/>
        </w:rPr>
        <w:t xml:space="preserve"> genel</w:t>
      </w:r>
      <w:r>
        <w:rPr>
          <w:b/>
          <w:bCs/>
          <w:noProof/>
          <w:sz w:val="22"/>
          <w:szCs w:val="22"/>
        </w:rPr>
        <w:t xml:space="preserve"> bilgiler: </w:t>
      </w:r>
    </w:p>
    <w:p>
      <w:pPr>
        <w:jc w:val="both"/>
        <w:rPr>
          <w:b/>
          <w:bCs/>
          <w:noProof/>
          <w:sz w:val="16"/>
          <w:szCs w:val="16"/>
        </w:rPr>
      </w:pPr>
    </w:p>
    <w:tbl>
      <w:tblPr>
        <w:tblW w:w="9120" w:type="dxa"/>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0"/>
        <w:gridCol w:w="3201"/>
        <w:gridCol w:w="1520"/>
        <w:gridCol w:w="2131"/>
        <w:gridCol w:w="2038"/>
      </w:tblGrid>
      <w:tr>
        <w:trPr>
          <w:trHeight w:val="475"/>
        </w:trPr>
        <w:tc>
          <w:tcPr>
            <w:tcW w:w="230" w:type="dxa"/>
            <w:shd w:val="clear" w:color="auto" w:fill="FFFFFF"/>
          </w:tcPr>
          <w:p>
            <w:pPr>
              <w:jc w:val="center"/>
              <w:rPr>
                <w:sz w:val="16"/>
                <w:szCs w:val="16"/>
              </w:rPr>
            </w:pPr>
          </w:p>
        </w:tc>
        <w:tc>
          <w:tcPr>
            <w:tcW w:w="3201" w:type="dxa"/>
            <w:shd w:val="clear" w:color="auto" w:fill="FFFFFF"/>
            <w:noWrap/>
            <w:vAlign w:val="bottom"/>
          </w:tcPr>
          <w:p>
            <w:pPr>
              <w:jc w:val="center"/>
              <w:rPr>
                <w:b/>
                <w:bCs/>
                <w:sz w:val="18"/>
                <w:szCs w:val="18"/>
              </w:rPr>
            </w:pPr>
            <w:r>
              <w:rPr>
                <w:b/>
                <w:bCs/>
                <w:sz w:val="18"/>
                <w:szCs w:val="18"/>
              </w:rPr>
              <w:t>Unvanı</w:t>
            </w:r>
          </w:p>
        </w:tc>
        <w:tc>
          <w:tcPr>
            <w:tcW w:w="1520" w:type="dxa"/>
            <w:shd w:val="clear" w:color="auto" w:fill="FFFFFF"/>
            <w:vAlign w:val="bottom"/>
          </w:tcPr>
          <w:p>
            <w:pPr>
              <w:jc w:val="center"/>
              <w:rPr>
                <w:b/>
                <w:bCs/>
                <w:sz w:val="18"/>
                <w:szCs w:val="18"/>
              </w:rPr>
            </w:pPr>
            <w:r>
              <w:rPr>
                <w:b/>
                <w:bCs/>
                <w:sz w:val="18"/>
                <w:szCs w:val="18"/>
              </w:rPr>
              <w:t>Adres (Şehir/ Ülke)</w:t>
            </w:r>
          </w:p>
        </w:tc>
        <w:tc>
          <w:tcPr>
            <w:tcW w:w="2131" w:type="dxa"/>
            <w:shd w:val="clear" w:color="auto" w:fill="FFFFFF"/>
            <w:vAlign w:val="bottom"/>
          </w:tcPr>
          <w:p>
            <w:pPr>
              <w:jc w:val="center"/>
              <w:rPr>
                <w:b/>
                <w:bCs/>
                <w:sz w:val="18"/>
                <w:szCs w:val="18"/>
              </w:rPr>
            </w:pPr>
            <w:r>
              <w:rPr>
                <w:b/>
                <w:bCs/>
                <w:sz w:val="18"/>
                <w:szCs w:val="18"/>
              </w:rPr>
              <w:t xml:space="preserve">Bankanın Pay Oranı-Farklıysa Oy Oranı (%) </w:t>
            </w:r>
          </w:p>
        </w:tc>
        <w:tc>
          <w:tcPr>
            <w:tcW w:w="2038" w:type="dxa"/>
            <w:shd w:val="clear" w:color="auto" w:fill="FFFFFF"/>
            <w:vAlign w:val="bottom"/>
          </w:tcPr>
          <w:p>
            <w:pPr>
              <w:jc w:val="center"/>
              <w:rPr>
                <w:b/>
                <w:bCs/>
                <w:sz w:val="18"/>
                <w:szCs w:val="18"/>
              </w:rPr>
            </w:pPr>
            <w:r>
              <w:rPr>
                <w:b/>
                <w:bCs/>
                <w:sz w:val="18"/>
                <w:szCs w:val="18"/>
              </w:rPr>
              <w:t xml:space="preserve">Banka Risk Grubu Pay Oranı (%) </w:t>
            </w:r>
          </w:p>
        </w:tc>
      </w:tr>
      <w:tr>
        <w:trPr>
          <w:trHeight w:val="259"/>
        </w:trPr>
        <w:tc>
          <w:tcPr>
            <w:tcW w:w="230" w:type="dxa"/>
            <w:shd w:val="clear" w:color="auto" w:fill="FFFFFF"/>
            <w:vAlign w:val="center"/>
          </w:tcPr>
          <w:p>
            <w:pPr>
              <w:jc w:val="center"/>
              <w:rPr>
                <w:sz w:val="18"/>
                <w:szCs w:val="18"/>
              </w:rPr>
            </w:pPr>
            <w:r>
              <w:rPr>
                <w:sz w:val="18"/>
                <w:szCs w:val="18"/>
              </w:rPr>
              <w:t>1</w:t>
            </w:r>
          </w:p>
        </w:tc>
        <w:tc>
          <w:tcPr>
            <w:tcW w:w="3201" w:type="dxa"/>
            <w:shd w:val="clear" w:color="auto" w:fill="FFFFFF"/>
            <w:noWrap/>
            <w:vAlign w:val="bottom"/>
          </w:tcPr>
          <w:p>
            <w:pPr>
              <w:rPr>
                <w:sz w:val="18"/>
                <w:szCs w:val="18"/>
              </w:rPr>
            </w:pPr>
            <w:r>
              <w:rPr>
                <w:sz w:val="18"/>
                <w:szCs w:val="18"/>
              </w:rPr>
              <w:t xml:space="preserve">Maksan A.Ş. </w:t>
            </w:r>
          </w:p>
        </w:tc>
        <w:tc>
          <w:tcPr>
            <w:tcW w:w="1520" w:type="dxa"/>
            <w:shd w:val="clear" w:color="auto" w:fill="FFFFFF"/>
            <w:noWrap/>
            <w:vAlign w:val="bottom"/>
          </w:tcPr>
          <w:p>
            <w:pPr>
              <w:rPr>
                <w:sz w:val="18"/>
                <w:szCs w:val="18"/>
              </w:rPr>
            </w:pPr>
            <w:r>
              <w:rPr>
                <w:sz w:val="18"/>
                <w:szCs w:val="18"/>
              </w:rPr>
              <w:t>Malatya</w:t>
            </w:r>
          </w:p>
        </w:tc>
        <w:tc>
          <w:tcPr>
            <w:tcW w:w="2131" w:type="dxa"/>
            <w:shd w:val="clear" w:color="auto" w:fill="FFFFFF"/>
            <w:noWrap/>
            <w:vAlign w:val="bottom"/>
          </w:tcPr>
          <w:p>
            <w:pPr>
              <w:jc w:val="right"/>
              <w:rPr>
                <w:sz w:val="18"/>
                <w:szCs w:val="18"/>
              </w:rPr>
            </w:pPr>
            <w:r>
              <w:rPr>
                <w:sz w:val="18"/>
                <w:szCs w:val="18"/>
              </w:rPr>
              <w:t>20,00</w:t>
            </w:r>
          </w:p>
        </w:tc>
        <w:tc>
          <w:tcPr>
            <w:tcW w:w="2038" w:type="dxa"/>
            <w:shd w:val="clear" w:color="auto" w:fill="FFFFFF"/>
            <w:noWrap/>
            <w:vAlign w:val="bottom"/>
          </w:tcPr>
          <w:p>
            <w:pPr>
              <w:jc w:val="right"/>
              <w:rPr>
                <w:sz w:val="18"/>
                <w:szCs w:val="18"/>
              </w:rPr>
            </w:pPr>
            <w:r>
              <w:rPr>
                <w:sz w:val="18"/>
                <w:szCs w:val="18"/>
              </w:rPr>
              <w:t>31,14</w:t>
            </w:r>
          </w:p>
        </w:tc>
      </w:tr>
      <w:tr>
        <w:trPr>
          <w:trHeight w:val="259"/>
        </w:trPr>
        <w:tc>
          <w:tcPr>
            <w:tcW w:w="230" w:type="dxa"/>
            <w:shd w:val="clear" w:color="auto" w:fill="FFFFFF"/>
            <w:vAlign w:val="center"/>
          </w:tcPr>
          <w:p>
            <w:pPr>
              <w:jc w:val="center"/>
              <w:rPr>
                <w:sz w:val="18"/>
                <w:szCs w:val="18"/>
              </w:rPr>
            </w:pPr>
            <w:r>
              <w:rPr>
                <w:sz w:val="18"/>
                <w:szCs w:val="18"/>
              </w:rPr>
              <w:t>2</w:t>
            </w:r>
          </w:p>
        </w:tc>
        <w:tc>
          <w:tcPr>
            <w:tcW w:w="3201" w:type="dxa"/>
            <w:shd w:val="clear" w:color="auto" w:fill="FFFFFF"/>
            <w:noWrap/>
            <w:vAlign w:val="bottom"/>
          </w:tcPr>
          <w:p>
            <w:pPr>
              <w:rPr>
                <w:sz w:val="18"/>
                <w:szCs w:val="18"/>
              </w:rPr>
            </w:pPr>
            <w:r>
              <w:rPr>
                <w:sz w:val="18"/>
                <w:szCs w:val="18"/>
              </w:rPr>
              <w:t xml:space="preserve">Teşebbüs Destekleme Ajansı </w:t>
            </w:r>
          </w:p>
        </w:tc>
        <w:tc>
          <w:tcPr>
            <w:tcW w:w="1520" w:type="dxa"/>
            <w:shd w:val="clear" w:color="auto" w:fill="FFFFFF"/>
            <w:noWrap/>
            <w:vAlign w:val="bottom"/>
          </w:tcPr>
          <w:p>
            <w:pPr>
              <w:rPr>
                <w:sz w:val="18"/>
                <w:szCs w:val="18"/>
              </w:rPr>
            </w:pPr>
            <w:r>
              <w:rPr>
                <w:sz w:val="18"/>
                <w:szCs w:val="18"/>
              </w:rPr>
              <w:t>Ankara</w:t>
            </w:r>
          </w:p>
        </w:tc>
        <w:tc>
          <w:tcPr>
            <w:tcW w:w="2131" w:type="dxa"/>
            <w:shd w:val="clear" w:color="auto" w:fill="FFFFFF"/>
            <w:noWrap/>
            <w:vAlign w:val="bottom"/>
          </w:tcPr>
          <w:p>
            <w:pPr>
              <w:jc w:val="right"/>
              <w:rPr>
                <w:sz w:val="18"/>
                <w:szCs w:val="18"/>
              </w:rPr>
            </w:pPr>
            <w:r>
              <w:rPr>
                <w:sz w:val="18"/>
                <w:szCs w:val="18"/>
              </w:rPr>
              <w:t>20,00</w:t>
            </w:r>
          </w:p>
        </w:tc>
        <w:tc>
          <w:tcPr>
            <w:tcW w:w="2038" w:type="dxa"/>
            <w:shd w:val="clear" w:color="auto" w:fill="FFFFFF"/>
            <w:noWrap/>
            <w:vAlign w:val="bottom"/>
          </w:tcPr>
          <w:p>
            <w:pPr>
              <w:jc w:val="right"/>
              <w:rPr>
                <w:sz w:val="18"/>
                <w:szCs w:val="18"/>
              </w:rPr>
            </w:pPr>
            <w:r>
              <w:rPr>
                <w:sz w:val="18"/>
                <w:szCs w:val="18"/>
              </w:rPr>
              <w:t>20,00</w:t>
            </w:r>
          </w:p>
        </w:tc>
      </w:tr>
      <w:tr>
        <w:trPr>
          <w:trHeight w:val="259"/>
        </w:trPr>
        <w:tc>
          <w:tcPr>
            <w:tcW w:w="230" w:type="dxa"/>
            <w:shd w:val="clear" w:color="auto" w:fill="FFFFFF"/>
            <w:vAlign w:val="center"/>
          </w:tcPr>
          <w:p>
            <w:pPr>
              <w:jc w:val="center"/>
              <w:rPr>
                <w:sz w:val="18"/>
                <w:szCs w:val="18"/>
              </w:rPr>
            </w:pPr>
            <w:r>
              <w:rPr>
                <w:sz w:val="18"/>
                <w:szCs w:val="18"/>
              </w:rPr>
              <w:t>3</w:t>
            </w:r>
          </w:p>
        </w:tc>
        <w:tc>
          <w:tcPr>
            <w:tcW w:w="3201" w:type="dxa"/>
            <w:shd w:val="clear" w:color="auto" w:fill="FFFFFF"/>
            <w:noWrap/>
            <w:vAlign w:val="bottom"/>
          </w:tcPr>
          <w:p>
            <w:pPr>
              <w:rPr>
                <w:sz w:val="18"/>
                <w:szCs w:val="18"/>
              </w:rPr>
            </w:pPr>
            <w:r>
              <w:rPr>
                <w:sz w:val="18"/>
                <w:szCs w:val="18"/>
              </w:rPr>
              <w:t>Türk Suudi Holding A.Ş.</w:t>
            </w:r>
          </w:p>
        </w:tc>
        <w:tc>
          <w:tcPr>
            <w:tcW w:w="1520" w:type="dxa"/>
            <w:shd w:val="clear" w:color="auto" w:fill="FFFFFF"/>
            <w:noWrap/>
            <w:vAlign w:val="bottom"/>
          </w:tcPr>
          <w:p>
            <w:pPr>
              <w:rPr>
                <w:sz w:val="18"/>
                <w:szCs w:val="18"/>
              </w:rPr>
            </w:pPr>
            <w:r>
              <w:rPr>
                <w:sz w:val="18"/>
                <w:szCs w:val="18"/>
              </w:rPr>
              <w:t>İstanbul</w:t>
            </w:r>
          </w:p>
        </w:tc>
        <w:tc>
          <w:tcPr>
            <w:tcW w:w="2131" w:type="dxa"/>
            <w:shd w:val="clear" w:color="auto" w:fill="FFFFFF"/>
            <w:noWrap/>
            <w:vAlign w:val="bottom"/>
          </w:tcPr>
          <w:p>
            <w:pPr>
              <w:jc w:val="right"/>
              <w:rPr>
                <w:sz w:val="18"/>
                <w:szCs w:val="18"/>
              </w:rPr>
            </w:pPr>
            <w:r>
              <w:rPr>
                <w:sz w:val="18"/>
                <w:szCs w:val="18"/>
              </w:rPr>
              <w:t>22,22</w:t>
            </w:r>
          </w:p>
        </w:tc>
        <w:tc>
          <w:tcPr>
            <w:tcW w:w="2038" w:type="dxa"/>
            <w:shd w:val="clear" w:color="auto" w:fill="FFFFFF"/>
            <w:noWrap/>
            <w:vAlign w:val="bottom"/>
          </w:tcPr>
          <w:p>
            <w:pPr>
              <w:jc w:val="right"/>
              <w:rPr>
                <w:sz w:val="18"/>
                <w:szCs w:val="18"/>
              </w:rPr>
            </w:pPr>
            <w:r>
              <w:rPr>
                <w:sz w:val="18"/>
                <w:szCs w:val="18"/>
              </w:rPr>
              <w:t>24,69</w:t>
            </w:r>
          </w:p>
        </w:tc>
      </w:tr>
      <w:tr>
        <w:trPr>
          <w:trHeight w:val="259"/>
        </w:trPr>
        <w:tc>
          <w:tcPr>
            <w:tcW w:w="230" w:type="dxa"/>
            <w:shd w:val="clear" w:color="auto" w:fill="FFFFFF"/>
            <w:vAlign w:val="center"/>
          </w:tcPr>
          <w:p>
            <w:pPr>
              <w:jc w:val="center"/>
              <w:rPr>
                <w:sz w:val="18"/>
                <w:szCs w:val="18"/>
              </w:rPr>
            </w:pPr>
            <w:r>
              <w:rPr>
                <w:sz w:val="18"/>
                <w:szCs w:val="18"/>
              </w:rPr>
              <w:t>4</w:t>
            </w:r>
          </w:p>
        </w:tc>
        <w:tc>
          <w:tcPr>
            <w:tcW w:w="3201" w:type="dxa"/>
            <w:shd w:val="clear" w:color="auto" w:fill="FFFFFF"/>
            <w:noWrap/>
            <w:vAlign w:val="bottom"/>
          </w:tcPr>
          <w:p>
            <w:pPr>
              <w:rPr>
                <w:sz w:val="18"/>
                <w:szCs w:val="18"/>
              </w:rPr>
            </w:pPr>
            <w:r>
              <w:rPr>
                <w:sz w:val="18"/>
                <w:szCs w:val="18"/>
              </w:rPr>
              <w:t xml:space="preserve">Türsan </w:t>
            </w:r>
          </w:p>
        </w:tc>
        <w:tc>
          <w:tcPr>
            <w:tcW w:w="1520" w:type="dxa"/>
            <w:shd w:val="clear" w:color="auto" w:fill="FFFFFF"/>
            <w:noWrap/>
            <w:vAlign w:val="bottom"/>
          </w:tcPr>
          <w:p>
            <w:pPr>
              <w:rPr>
                <w:sz w:val="18"/>
                <w:szCs w:val="18"/>
              </w:rPr>
            </w:pPr>
            <w:r>
              <w:rPr>
                <w:sz w:val="18"/>
                <w:szCs w:val="18"/>
              </w:rPr>
              <w:t>Mardin</w:t>
            </w:r>
          </w:p>
        </w:tc>
        <w:tc>
          <w:tcPr>
            <w:tcW w:w="2131" w:type="dxa"/>
            <w:shd w:val="clear" w:color="auto" w:fill="FFFFFF"/>
            <w:noWrap/>
            <w:vAlign w:val="bottom"/>
          </w:tcPr>
          <w:p>
            <w:pPr>
              <w:jc w:val="right"/>
              <w:rPr>
                <w:sz w:val="18"/>
                <w:szCs w:val="18"/>
              </w:rPr>
            </w:pPr>
            <w:r>
              <w:rPr>
                <w:sz w:val="18"/>
                <w:szCs w:val="18"/>
              </w:rPr>
              <w:t>17,84</w:t>
            </w:r>
          </w:p>
        </w:tc>
        <w:tc>
          <w:tcPr>
            <w:tcW w:w="2038" w:type="dxa"/>
            <w:shd w:val="clear" w:color="auto" w:fill="FFFFFF"/>
            <w:noWrap/>
            <w:vAlign w:val="bottom"/>
          </w:tcPr>
          <w:p>
            <w:pPr>
              <w:jc w:val="right"/>
              <w:rPr>
                <w:sz w:val="18"/>
                <w:szCs w:val="18"/>
              </w:rPr>
            </w:pPr>
            <w:r>
              <w:rPr>
                <w:sz w:val="18"/>
                <w:szCs w:val="18"/>
              </w:rPr>
              <w:t>17,84</w:t>
            </w:r>
          </w:p>
        </w:tc>
      </w:tr>
      <w:tr>
        <w:trPr>
          <w:trHeight w:val="259"/>
        </w:trPr>
        <w:tc>
          <w:tcPr>
            <w:tcW w:w="230" w:type="dxa"/>
            <w:shd w:val="clear" w:color="auto" w:fill="FFFFFF"/>
            <w:vAlign w:val="center"/>
          </w:tcPr>
          <w:p>
            <w:pPr>
              <w:jc w:val="center"/>
              <w:rPr>
                <w:sz w:val="18"/>
                <w:szCs w:val="18"/>
              </w:rPr>
            </w:pPr>
            <w:r>
              <w:rPr>
                <w:sz w:val="18"/>
                <w:szCs w:val="18"/>
              </w:rPr>
              <w:t>5</w:t>
            </w:r>
          </w:p>
        </w:tc>
        <w:tc>
          <w:tcPr>
            <w:tcW w:w="3201" w:type="dxa"/>
            <w:shd w:val="clear" w:color="auto" w:fill="FFFFFF"/>
            <w:noWrap/>
            <w:vAlign w:val="bottom"/>
          </w:tcPr>
          <w:p>
            <w:pPr>
              <w:rPr>
                <w:sz w:val="18"/>
                <w:szCs w:val="18"/>
              </w:rPr>
            </w:pPr>
            <w:r>
              <w:rPr>
                <w:sz w:val="18"/>
                <w:szCs w:val="18"/>
              </w:rPr>
              <w:t>Yozgat Otelcilik A.Ş.</w:t>
            </w:r>
            <w:r>
              <w:rPr>
                <w:sz w:val="18"/>
                <w:szCs w:val="18"/>
              </w:rPr>
              <w:t xml:space="preserve"> </w:t>
            </w:r>
          </w:p>
        </w:tc>
        <w:tc>
          <w:tcPr>
            <w:tcW w:w="1520" w:type="dxa"/>
            <w:shd w:val="clear" w:color="auto" w:fill="FFFFFF"/>
            <w:noWrap/>
            <w:vAlign w:val="bottom"/>
          </w:tcPr>
          <w:p>
            <w:pPr>
              <w:rPr>
                <w:sz w:val="18"/>
                <w:szCs w:val="18"/>
              </w:rPr>
            </w:pPr>
            <w:r>
              <w:rPr>
                <w:sz w:val="18"/>
                <w:szCs w:val="18"/>
              </w:rPr>
              <w:t>Yozgat</w:t>
            </w:r>
          </w:p>
        </w:tc>
        <w:tc>
          <w:tcPr>
            <w:tcW w:w="2131" w:type="dxa"/>
            <w:shd w:val="clear" w:color="auto" w:fill="FFFFFF"/>
            <w:noWrap/>
            <w:vAlign w:val="bottom"/>
          </w:tcPr>
          <w:p>
            <w:pPr>
              <w:jc w:val="right"/>
              <w:rPr>
                <w:sz w:val="18"/>
                <w:szCs w:val="18"/>
              </w:rPr>
            </w:pPr>
            <w:r>
              <w:rPr>
                <w:sz w:val="18"/>
                <w:szCs w:val="18"/>
              </w:rPr>
              <w:t>20</w:t>
            </w:r>
            <w:r>
              <w:rPr>
                <w:sz w:val="18"/>
                <w:szCs w:val="18"/>
              </w:rPr>
              <w:t>,</w:t>
            </w:r>
            <w:r>
              <w:rPr>
                <w:sz w:val="18"/>
                <w:szCs w:val="18"/>
              </w:rPr>
              <w:t>00</w:t>
            </w:r>
          </w:p>
        </w:tc>
        <w:tc>
          <w:tcPr>
            <w:tcW w:w="2038" w:type="dxa"/>
            <w:shd w:val="clear" w:color="auto" w:fill="FFFFFF"/>
            <w:noWrap/>
            <w:vAlign w:val="bottom"/>
          </w:tcPr>
          <w:p>
            <w:pPr>
              <w:jc w:val="right"/>
              <w:rPr>
                <w:sz w:val="18"/>
                <w:szCs w:val="18"/>
              </w:rPr>
            </w:pPr>
            <w:r>
              <w:rPr>
                <w:sz w:val="18"/>
                <w:szCs w:val="18"/>
              </w:rPr>
              <w:t>3,75</w:t>
            </w:r>
          </w:p>
        </w:tc>
      </w:tr>
      <w:tr>
        <w:trPr>
          <w:trHeight w:val="259"/>
        </w:trPr>
        <w:tc>
          <w:tcPr>
            <w:tcW w:w="230" w:type="dxa"/>
            <w:shd w:val="clear" w:color="auto" w:fill="FFFFFF"/>
            <w:vAlign w:val="center"/>
          </w:tcPr>
          <w:p>
            <w:pPr>
              <w:jc w:val="center"/>
              <w:rPr>
                <w:sz w:val="18"/>
                <w:szCs w:val="18"/>
              </w:rPr>
            </w:pPr>
            <w:r>
              <w:rPr>
                <w:sz w:val="18"/>
                <w:szCs w:val="18"/>
              </w:rPr>
              <w:t>6</w:t>
            </w:r>
          </w:p>
        </w:tc>
        <w:tc>
          <w:tcPr>
            <w:tcW w:w="3201" w:type="dxa"/>
            <w:shd w:val="clear" w:color="auto" w:fill="FFFFFF"/>
            <w:noWrap/>
            <w:vAlign w:val="bottom"/>
          </w:tcPr>
          <w:p>
            <w:pPr>
              <w:rPr>
                <w:sz w:val="18"/>
                <w:szCs w:val="18"/>
              </w:rPr>
            </w:pPr>
            <w:r>
              <w:rPr>
                <w:sz w:val="18"/>
                <w:szCs w:val="18"/>
              </w:rPr>
              <w:t>İVCİ</w:t>
            </w:r>
            <w:r>
              <w:rPr>
                <w:sz w:val="18"/>
                <w:szCs w:val="18"/>
              </w:rPr>
              <w:t xml:space="preserve"> ( İstanbul Venture Capital Initiative) </w:t>
            </w:r>
          </w:p>
        </w:tc>
        <w:tc>
          <w:tcPr>
            <w:tcW w:w="1520" w:type="dxa"/>
            <w:shd w:val="clear" w:color="auto" w:fill="FFFFFF"/>
            <w:noWrap/>
            <w:vAlign w:val="bottom"/>
          </w:tcPr>
          <w:p>
            <w:pPr>
              <w:rPr>
                <w:sz w:val="18"/>
                <w:szCs w:val="18"/>
              </w:rPr>
            </w:pPr>
            <w:r>
              <w:rPr>
                <w:sz w:val="18"/>
                <w:szCs w:val="18"/>
              </w:rPr>
              <w:t>Lüksemburg</w:t>
            </w:r>
          </w:p>
        </w:tc>
        <w:tc>
          <w:tcPr>
            <w:tcW w:w="2131" w:type="dxa"/>
            <w:shd w:val="clear" w:color="auto" w:fill="FFFFFF"/>
            <w:noWrap/>
            <w:vAlign w:val="bottom"/>
          </w:tcPr>
          <w:p>
            <w:pPr>
              <w:jc w:val="right"/>
              <w:rPr>
                <w:sz w:val="18"/>
                <w:szCs w:val="18"/>
              </w:rPr>
            </w:pPr>
            <w:r>
              <w:rPr>
                <w:sz w:val="18"/>
                <w:szCs w:val="18"/>
              </w:rPr>
              <w:t>11,11</w:t>
            </w:r>
          </w:p>
        </w:tc>
        <w:tc>
          <w:tcPr>
            <w:tcW w:w="2038" w:type="dxa"/>
            <w:shd w:val="clear" w:color="auto" w:fill="FFFFFF"/>
            <w:noWrap/>
            <w:vAlign w:val="bottom"/>
          </w:tcPr>
          <w:p>
            <w:pPr>
              <w:jc w:val="right"/>
              <w:rPr>
                <w:sz w:val="18"/>
                <w:szCs w:val="18"/>
              </w:rPr>
            </w:pPr>
            <w:r>
              <w:rPr>
                <w:sz w:val="18"/>
                <w:szCs w:val="18"/>
              </w:rPr>
              <w:t>6,25</w:t>
            </w:r>
          </w:p>
        </w:tc>
      </w:tr>
    </w:tbl>
    <w:p>
      <w:pPr>
        <w:jc w:val="both"/>
        <w:rPr>
          <w:noProof/>
          <w:sz w:val="16"/>
          <w:szCs w:val="16"/>
        </w:rPr>
      </w:pPr>
    </w:p>
    <w:p>
      <w:pPr>
        <w:tabs>
          <w:tab w:val="left" w:pos="709"/>
        </w:tabs>
        <w:jc w:val="both"/>
        <w:rPr>
          <w:b/>
          <w:sz w:val="22"/>
          <w:szCs w:val="22"/>
        </w:rPr>
      </w:pPr>
      <w:r>
        <w:rPr>
          <w:b/>
          <w:sz w:val="22"/>
          <w:szCs w:val="22"/>
        </w:rPr>
        <w:t>7.b.</w:t>
      </w:r>
      <w:r>
        <w:rPr>
          <w:b/>
          <w:sz w:val="22"/>
          <w:szCs w:val="22"/>
        </w:rPr>
        <w:tab/>
        <w:t>Yukarıdaki sıraya göre iştiraklere ilişkin finansal tablo bilgileri:</w:t>
      </w:r>
    </w:p>
    <w:p>
      <w:pPr>
        <w:jc w:val="both"/>
        <w:rPr>
          <w:sz w:val="22"/>
          <w:szCs w:val="22"/>
        </w:rPr>
      </w:pPr>
    </w:p>
    <w:tbl>
      <w:tblPr>
        <w:tblW w:w="907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0"/>
        <w:gridCol w:w="1077"/>
        <w:gridCol w:w="1077"/>
        <w:gridCol w:w="1134"/>
        <w:gridCol w:w="1077"/>
        <w:gridCol w:w="1134"/>
        <w:gridCol w:w="1134"/>
        <w:gridCol w:w="1134"/>
        <w:gridCol w:w="1077"/>
      </w:tblGrid>
      <w:tr>
        <w:trPr>
          <w:trHeight w:val="660"/>
        </w:trPr>
        <w:tc>
          <w:tcPr>
            <w:tcW w:w="230" w:type="dxa"/>
            <w:vAlign w:val="bottom"/>
          </w:tcPr>
          <w:p>
            <w:pPr>
              <w:rPr>
                <w:sz w:val="16"/>
                <w:szCs w:val="16"/>
              </w:rPr>
            </w:pPr>
            <w:r>
              <w:rPr>
                <w:sz w:val="16"/>
                <w:szCs w:val="16"/>
              </w:rPr>
              <w:t> </w:t>
            </w:r>
          </w:p>
        </w:tc>
        <w:tc>
          <w:tcPr>
            <w:tcW w:w="1077" w:type="dxa"/>
            <w:shd w:val="clear" w:color="auto" w:fill="FFFFFF"/>
            <w:vAlign w:val="bottom"/>
          </w:tcPr>
          <w:p>
            <w:pPr>
              <w:jc w:val="center"/>
              <w:rPr>
                <w:b/>
                <w:bCs/>
                <w:sz w:val="18"/>
                <w:szCs w:val="18"/>
              </w:rPr>
            </w:pPr>
            <w:r>
              <w:rPr>
                <w:b/>
                <w:bCs/>
                <w:sz w:val="18"/>
                <w:szCs w:val="18"/>
              </w:rPr>
              <w:t>Aktif Toplamı</w:t>
            </w:r>
          </w:p>
        </w:tc>
        <w:tc>
          <w:tcPr>
            <w:tcW w:w="1077" w:type="dxa"/>
            <w:shd w:val="clear" w:color="auto" w:fill="FFFFFF"/>
            <w:vAlign w:val="bottom"/>
          </w:tcPr>
          <w:p>
            <w:pPr>
              <w:jc w:val="center"/>
              <w:rPr>
                <w:b/>
                <w:bCs/>
                <w:sz w:val="18"/>
                <w:szCs w:val="18"/>
              </w:rPr>
            </w:pPr>
            <w:r>
              <w:rPr>
                <w:b/>
                <w:bCs/>
                <w:sz w:val="18"/>
                <w:szCs w:val="18"/>
              </w:rPr>
              <w:t>Özkaynak</w:t>
            </w:r>
          </w:p>
        </w:tc>
        <w:tc>
          <w:tcPr>
            <w:tcW w:w="1134" w:type="dxa"/>
            <w:shd w:val="clear" w:color="auto" w:fill="FFFFFF"/>
            <w:vAlign w:val="bottom"/>
          </w:tcPr>
          <w:p>
            <w:pPr>
              <w:jc w:val="center"/>
              <w:rPr>
                <w:b/>
                <w:bCs/>
                <w:sz w:val="18"/>
                <w:szCs w:val="18"/>
              </w:rPr>
            </w:pPr>
            <w:r>
              <w:rPr>
                <w:b/>
                <w:bCs/>
                <w:sz w:val="18"/>
                <w:szCs w:val="18"/>
              </w:rPr>
              <w:t>Sabit Varlık Toplamı</w:t>
            </w:r>
          </w:p>
        </w:tc>
        <w:tc>
          <w:tcPr>
            <w:tcW w:w="1077" w:type="dxa"/>
            <w:shd w:val="clear" w:color="auto" w:fill="FFFFFF"/>
            <w:vAlign w:val="bottom"/>
          </w:tcPr>
          <w:p>
            <w:pPr>
              <w:jc w:val="center"/>
              <w:rPr>
                <w:b/>
                <w:bCs/>
                <w:sz w:val="18"/>
                <w:szCs w:val="18"/>
              </w:rPr>
            </w:pPr>
            <w:r>
              <w:rPr>
                <w:b/>
                <w:bCs/>
                <w:sz w:val="18"/>
                <w:szCs w:val="18"/>
              </w:rPr>
              <w:t>Faiz Gelirleri</w:t>
            </w:r>
          </w:p>
        </w:tc>
        <w:tc>
          <w:tcPr>
            <w:tcW w:w="1134" w:type="dxa"/>
            <w:shd w:val="clear" w:color="auto" w:fill="FFFFFF"/>
            <w:vAlign w:val="bottom"/>
          </w:tcPr>
          <w:p>
            <w:pPr>
              <w:jc w:val="center"/>
              <w:rPr>
                <w:b/>
                <w:bCs/>
                <w:sz w:val="18"/>
                <w:szCs w:val="18"/>
              </w:rPr>
            </w:pPr>
            <w:r>
              <w:rPr>
                <w:b/>
                <w:bCs/>
                <w:sz w:val="18"/>
                <w:szCs w:val="18"/>
              </w:rPr>
              <w:t>Menkul Değer Gelirleri</w:t>
            </w:r>
          </w:p>
        </w:tc>
        <w:tc>
          <w:tcPr>
            <w:tcW w:w="1134" w:type="dxa"/>
            <w:shd w:val="clear" w:color="auto"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shd w:val="clear" w:color="auto"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shd w:val="clear" w:color="auto" w:fill="FFFFFF"/>
            <w:vAlign w:val="bottom"/>
          </w:tcPr>
          <w:p>
            <w:pPr>
              <w:jc w:val="center"/>
              <w:rPr>
                <w:b/>
                <w:bCs/>
                <w:sz w:val="18"/>
                <w:szCs w:val="18"/>
              </w:rPr>
            </w:pPr>
            <w:r>
              <w:rPr>
                <w:b/>
                <w:bCs/>
                <w:sz w:val="18"/>
                <w:szCs w:val="18"/>
              </w:rPr>
              <w:t>Gerçeğe Uygun Değeri</w:t>
            </w:r>
            <w:r>
              <w:rPr>
                <w:b/>
                <w:bCs/>
                <w:sz w:val="18"/>
                <w:szCs w:val="18"/>
              </w:rPr>
              <w:t xml:space="preserve"> </w:t>
            </w:r>
            <w:r>
              <w:rPr>
                <w:b/>
                <w:bCs/>
                <w:sz w:val="18"/>
                <w:szCs w:val="18"/>
                <w:vertAlign w:val="superscript"/>
              </w:rPr>
              <w:t>(</w:t>
            </w:r>
            <w:r>
              <w:rPr>
                <w:b/>
                <w:bCs/>
                <w:sz w:val="18"/>
                <w:szCs w:val="18"/>
                <w:vertAlign w:val="superscript"/>
              </w:rPr>
              <w:t>*</w:t>
            </w:r>
            <w:r>
              <w:rPr>
                <w:b/>
                <w:bCs/>
                <w:sz w:val="18"/>
                <w:szCs w:val="18"/>
                <w:vertAlign w:val="superscript"/>
              </w:rPr>
              <w:t>)</w:t>
            </w:r>
          </w:p>
        </w:tc>
      </w:tr>
      <w:tr>
        <w:trPr>
          <w:trHeight w:val="270"/>
        </w:trPr>
        <w:tc>
          <w:tcPr>
            <w:tcW w:w="230" w:type="dxa"/>
            <w:shd w:val="clear" w:color="auto" w:fill="FFFFFF"/>
            <w:vAlign w:val="bottom"/>
          </w:tcPr>
          <w:p>
            <w:pPr>
              <w:jc w:val="center"/>
              <w:rPr>
                <w:sz w:val="18"/>
                <w:szCs w:val="18"/>
              </w:rPr>
            </w:pPr>
            <w:r>
              <w:rPr>
                <w:sz w:val="18"/>
                <w:szCs w:val="18"/>
              </w:rPr>
              <w:t>1</w:t>
            </w:r>
          </w:p>
        </w:tc>
        <w:tc>
          <w:tcPr>
            <w:tcW w:w="1077" w:type="dxa"/>
            <w:shd w:val="clear" w:color="auto" w:fill="FFFFFF"/>
            <w:vAlign w:val="bottom"/>
          </w:tcPr>
          <w:p>
            <w:pPr>
              <w:jc w:val="right"/>
              <w:rPr>
                <w:sz w:val="18"/>
                <w:szCs w:val="18"/>
              </w:rPr>
            </w:pPr>
            <w:r>
              <w:rPr>
                <w:sz w:val="18"/>
                <w:szCs w:val="18"/>
              </w:rPr>
              <w:t>19.484</w:t>
            </w:r>
          </w:p>
        </w:tc>
        <w:tc>
          <w:tcPr>
            <w:tcW w:w="1077" w:type="dxa"/>
            <w:shd w:val="clear" w:color="auto" w:fill="FFFFFF"/>
            <w:vAlign w:val="bottom"/>
          </w:tcPr>
          <w:p>
            <w:pPr>
              <w:jc w:val="right"/>
              <w:rPr>
                <w:sz w:val="18"/>
                <w:szCs w:val="18"/>
              </w:rPr>
            </w:pPr>
            <w:r>
              <w:rPr>
                <w:sz w:val="18"/>
                <w:szCs w:val="18"/>
              </w:rPr>
              <w:t>12.680</w:t>
            </w:r>
          </w:p>
        </w:tc>
        <w:tc>
          <w:tcPr>
            <w:tcW w:w="1134" w:type="dxa"/>
            <w:shd w:val="clear" w:color="auto" w:fill="FFFFFF"/>
            <w:vAlign w:val="bottom"/>
          </w:tcPr>
          <w:p>
            <w:pPr>
              <w:jc w:val="right"/>
              <w:rPr>
                <w:sz w:val="18"/>
                <w:szCs w:val="18"/>
              </w:rPr>
            </w:pPr>
            <w:r>
              <w:rPr>
                <w:sz w:val="18"/>
                <w:szCs w:val="18"/>
              </w:rPr>
              <w:t>2.428</w:t>
            </w:r>
          </w:p>
        </w:tc>
        <w:tc>
          <w:tcPr>
            <w:tcW w:w="1077" w:type="dxa"/>
            <w:shd w:val="clear" w:color="auto" w:fill="FFFFFF"/>
            <w:vAlign w:val="bottom"/>
          </w:tcPr>
          <w:p>
            <w:pPr>
              <w:jc w:val="right"/>
              <w:rPr>
                <w:sz w:val="18"/>
                <w:szCs w:val="18"/>
              </w:rPr>
            </w:pPr>
            <w:r>
              <w:rPr>
                <w:sz w:val="18"/>
                <w:szCs w:val="18"/>
              </w:rPr>
              <w:t>39</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215</w:t>
            </w:r>
          </w:p>
        </w:tc>
        <w:tc>
          <w:tcPr>
            <w:tcW w:w="1134" w:type="dxa"/>
            <w:shd w:val="clear" w:color="auto" w:fill="FFFFFF"/>
            <w:vAlign w:val="bottom"/>
          </w:tcPr>
          <w:p>
            <w:pPr>
              <w:jc w:val="right"/>
              <w:rPr>
                <w:sz w:val="18"/>
                <w:szCs w:val="18"/>
              </w:rPr>
            </w:pPr>
            <w:r>
              <w:rPr>
                <w:sz w:val="18"/>
                <w:szCs w:val="18"/>
              </w:rPr>
              <w:t>810</w:t>
            </w:r>
          </w:p>
        </w:tc>
        <w:tc>
          <w:tcPr>
            <w:tcW w:w="1077" w:type="dxa"/>
            <w:shd w:val="clear" w:color="auto" w:fill="FFFFFF"/>
            <w:vAlign w:val="bottom"/>
          </w:tcPr>
          <w:p>
            <w:pPr>
              <w:jc w:val="right"/>
              <w:rPr>
                <w:sz w:val="18"/>
                <w:szCs w:val="18"/>
              </w:rPr>
            </w:pPr>
            <w:r>
              <w:rPr>
                <w:sz w:val="18"/>
                <w:szCs w:val="18"/>
              </w:rPr>
              <w:t>- </w:t>
            </w:r>
          </w:p>
        </w:tc>
      </w:tr>
      <w:tr>
        <w:trPr>
          <w:trHeight w:val="270"/>
        </w:trPr>
        <w:tc>
          <w:tcPr>
            <w:tcW w:w="230" w:type="dxa"/>
            <w:shd w:val="clear" w:color="auto" w:fill="FFFFFF"/>
            <w:vAlign w:val="bottom"/>
          </w:tcPr>
          <w:p>
            <w:pPr>
              <w:jc w:val="center"/>
              <w:rPr>
                <w:sz w:val="18"/>
                <w:szCs w:val="18"/>
              </w:rPr>
            </w:pPr>
            <w:r>
              <w:rPr>
                <w:sz w:val="18"/>
                <w:szCs w:val="18"/>
              </w:rPr>
              <w:t>2</w:t>
            </w:r>
          </w:p>
        </w:tc>
        <w:tc>
          <w:tcPr>
            <w:tcW w:w="1077"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r>
      <w:tr>
        <w:trPr>
          <w:trHeight w:val="270"/>
        </w:trPr>
        <w:tc>
          <w:tcPr>
            <w:tcW w:w="230" w:type="dxa"/>
            <w:shd w:val="clear" w:color="auto" w:fill="FFFFFF"/>
            <w:vAlign w:val="bottom"/>
          </w:tcPr>
          <w:p>
            <w:pPr>
              <w:jc w:val="center"/>
              <w:rPr>
                <w:sz w:val="18"/>
                <w:szCs w:val="18"/>
              </w:rPr>
            </w:pPr>
            <w:r>
              <w:rPr>
                <w:sz w:val="18"/>
                <w:szCs w:val="18"/>
              </w:rPr>
              <w:t>3</w:t>
            </w:r>
          </w:p>
        </w:tc>
        <w:tc>
          <w:tcPr>
            <w:tcW w:w="1077" w:type="dxa"/>
            <w:shd w:val="clear" w:color="auto" w:fill="FFFFFF"/>
            <w:vAlign w:val="bottom"/>
          </w:tcPr>
          <w:p>
            <w:pPr>
              <w:jc w:val="right"/>
              <w:rPr>
                <w:sz w:val="18"/>
                <w:szCs w:val="18"/>
              </w:rPr>
            </w:pPr>
            <w:r>
              <w:rPr>
                <w:sz w:val="18"/>
                <w:szCs w:val="18"/>
              </w:rPr>
              <w:t>5.637</w:t>
            </w:r>
          </w:p>
        </w:tc>
        <w:tc>
          <w:tcPr>
            <w:tcW w:w="1077" w:type="dxa"/>
            <w:shd w:val="clear" w:color="auto" w:fill="FFFFFF"/>
            <w:vAlign w:val="bottom"/>
          </w:tcPr>
          <w:p>
            <w:pPr>
              <w:jc w:val="right"/>
              <w:rPr>
                <w:sz w:val="18"/>
                <w:szCs w:val="18"/>
              </w:rPr>
            </w:pPr>
            <w:r>
              <w:rPr>
                <w:sz w:val="18"/>
                <w:szCs w:val="18"/>
              </w:rPr>
              <w:t>5.618</w:t>
            </w:r>
          </w:p>
        </w:tc>
        <w:tc>
          <w:tcPr>
            <w:tcW w:w="1134" w:type="dxa"/>
            <w:shd w:val="clear" w:color="auto" w:fill="FFFFFF"/>
            <w:vAlign w:val="bottom"/>
          </w:tcPr>
          <w:p>
            <w:pPr>
              <w:jc w:val="right"/>
              <w:rPr>
                <w:sz w:val="18"/>
                <w:szCs w:val="18"/>
              </w:rPr>
            </w:pPr>
            <w:r>
              <w:rPr>
                <w:sz w:val="18"/>
                <w:szCs w:val="18"/>
              </w:rPr>
              <w:t>5.445</w:t>
            </w:r>
          </w:p>
        </w:tc>
        <w:tc>
          <w:tcPr>
            <w:tcW w:w="1077" w:type="dxa"/>
            <w:shd w:val="clear" w:color="auto" w:fill="FFFFFF"/>
            <w:vAlign w:val="bottom"/>
          </w:tcPr>
          <w:p>
            <w:pPr>
              <w:jc w:val="right"/>
              <w:rPr>
                <w:sz w:val="18"/>
                <w:szCs w:val="18"/>
              </w:rPr>
            </w:pPr>
            <w:r>
              <w:rPr>
                <w:sz w:val="18"/>
                <w:szCs w:val="18"/>
              </w:rPr>
              <w:t>4</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(4)</w:t>
            </w:r>
          </w:p>
        </w:tc>
        <w:tc>
          <w:tcPr>
            <w:tcW w:w="1134" w:type="dxa"/>
            <w:shd w:val="clear" w:color="auto" w:fill="FFFFFF"/>
            <w:vAlign w:val="bottom"/>
          </w:tcPr>
          <w:p>
            <w:pPr>
              <w:jc w:val="right"/>
              <w:rPr>
                <w:sz w:val="18"/>
                <w:szCs w:val="18"/>
              </w:rPr>
            </w:pPr>
            <w:r>
              <w:rPr>
                <w:sz w:val="18"/>
                <w:szCs w:val="18"/>
              </w:rPr>
              <w:t>(7)</w:t>
            </w:r>
          </w:p>
        </w:tc>
        <w:tc>
          <w:tcPr>
            <w:tcW w:w="1077" w:type="dxa"/>
            <w:shd w:val="clear" w:color="auto" w:fill="FFFFFF"/>
            <w:vAlign w:val="bottom"/>
          </w:tcPr>
          <w:p>
            <w:pPr>
              <w:jc w:val="right"/>
              <w:rPr>
                <w:sz w:val="18"/>
                <w:szCs w:val="18"/>
              </w:rPr>
            </w:pPr>
            <w:r>
              <w:rPr>
                <w:sz w:val="18"/>
                <w:szCs w:val="18"/>
              </w:rPr>
              <w:t>- </w:t>
            </w:r>
          </w:p>
        </w:tc>
      </w:tr>
      <w:tr>
        <w:trPr>
          <w:trHeight w:val="270"/>
        </w:trPr>
        <w:tc>
          <w:tcPr>
            <w:tcW w:w="230" w:type="dxa"/>
            <w:shd w:val="clear" w:color="auto" w:fill="FFFFFF"/>
            <w:vAlign w:val="bottom"/>
          </w:tcPr>
          <w:p>
            <w:pPr>
              <w:jc w:val="center"/>
              <w:rPr>
                <w:sz w:val="18"/>
                <w:szCs w:val="18"/>
              </w:rPr>
            </w:pPr>
            <w:r>
              <w:rPr>
                <w:sz w:val="18"/>
                <w:szCs w:val="18"/>
              </w:rPr>
              <w:t>4</w:t>
            </w:r>
          </w:p>
        </w:tc>
        <w:tc>
          <w:tcPr>
            <w:tcW w:w="1077"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r>
      <w:tr>
        <w:trPr>
          <w:trHeight w:val="270"/>
        </w:trPr>
        <w:tc>
          <w:tcPr>
            <w:tcW w:w="230" w:type="dxa"/>
            <w:shd w:val="clear" w:color="auto" w:fill="FFFFFF"/>
            <w:vAlign w:val="bottom"/>
          </w:tcPr>
          <w:p>
            <w:pPr>
              <w:jc w:val="center"/>
              <w:rPr>
                <w:sz w:val="18"/>
                <w:szCs w:val="18"/>
              </w:rPr>
            </w:pPr>
            <w:r>
              <w:rPr>
                <w:sz w:val="18"/>
                <w:szCs w:val="18"/>
              </w:rPr>
              <w:t>5</w:t>
            </w:r>
          </w:p>
        </w:tc>
        <w:tc>
          <w:tcPr>
            <w:tcW w:w="1077" w:type="dxa"/>
            <w:shd w:val="clear" w:color="auto" w:fill="FFFFFF"/>
            <w:vAlign w:val="bottom"/>
          </w:tcPr>
          <w:p>
            <w:pPr>
              <w:jc w:val="right"/>
              <w:rPr>
                <w:sz w:val="18"/>
                <w:szCs w:val="18"/>
              </w:rPr>
            </w:pPr>
            <w:r>
              <w:rPr>
                <w:sz w:val="18"/>
                <w:szCs w:val="18"/>
              </w:rPr>
              <w:t>227</w:t>
            </w:r>
          </w:p>
        </w:tc>
        <w:tc>
          <w:tcPr>
            <w:tcW w:w="1077" w:type="dxa"/>
            <w:shd w:val="clear" w:color="auto" w:fill="FFFFFF"/>
            <w:vAlign w:val="bottom"/>
          </w:tcPr>
          <w:p>
            <w:pPr>
              <w:jc w:val="right"/>
              <w:rPr>
                <w:sz w:val="18"/>
                <w:szCs w:val="18"/>
              </w:rPr>
            </w:pPr>
            <w:r>
              <w:rPr>
                <w:sz w:val="18"/>
                <w:szCs w:val="18"/>
              </w:rPr>
              <w:t>224</w:t>
            </w:r>
          </w:p>
        </w:tc>
        <w:tc>
          <w:tcPr>
            <w:tcW w:w="1134" w:type="dxa"/>
            <w:shd w:val="clear" w:color="auto" w:fill="FFFFFF"/>
            <w:vAlign w:val="bottom"/>
          </w:tcPr>
          <w:p>
            <w:pPr>
              <w:jc w:val="right"/>
              <w:rPr>
                <w:sz w:val="18"/>
                <w:szCs w:val="18"/>
              </w:rPr>
            </w:pPr>
            <w:r>
              <w:rPr>
                <w:sz w:val="18"/>
                <w:szCs w:val="18"/>
              </w:rPr>
              <w:t>170</w:t>
            </w:r>
          </w:p>
        </w:tc>
        <w:tc>
          <w:tcPr>
            <w:tcW w:w="1077" w:type="dxa"/>
            <w:shd w:val="clear" w:color="auto" w:fill="FFFFFF"/>
            <w:vAlign w:val="bottom"/>
          </w:tcPr>
          <w:p>
            <w:pPr>
              <w:jc w:val="right"/>
              <w:rPr>
                <w:sz w:val="18"/>
                <w:szCs w:val="18"/>
              </w:rPr>
            </w:pPr>
            <w:r>
              <w:rPr>
                <w:sz w:val="18"/>
                <w:szCs w:val="18"/>
              </w:rPr>
              <w:t>1</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(16)</w:t>
            </w:r>
          </w:p>
        </w:tc>
        <w:tc>
          <w:tcPr>
            <w:tcW w:w="1134" w:type="dxa"/>
            <w:shd w:val="clear" w:color="auto" w:fill="FFFFFF"/>
            <w:vAlign w:val="bottom"/>
          </w:tcPr>
          <w:p>
            <w:pPr>
              <w:jc w:val="right"/>
              <w:rPr>
                <w:sz w:val="18"/>
                <w:szCs w:val="18"/>
              </w:rPr>
            </w:pPr>
            <w:r>
              <w:rPr>
                <w:sz w:val="18"/>
                <w:szCs w:val="18"/>
              </w:rPr>
              <w:t>(</w:t>
            </w:r>
            <w:r>
              <w:rPr>
                <w:sz w:val="18"/>
                <w:szCs w:val="18"/>
              </w:rPr>
              <w:t>2</w:t>
            </w:r>
            <w:r>
              <w:rPr>
                <w:sz w:val="18"/>
                <w:szCs w:val="18"/>
              </w:rPr>
              <w:t>4)</w:t>
            </w:r>
          </w:p>
        </w:tc>
        <w:tc>
          <w:tcPr>
            <w:tcW w:w="1077" w:type="dxa"/>
            <w:shd w:val="clear" w:color="auto" w:fill="FFFFFF"/>
            <w:vAlign w:val="bottom"/>
          </w:tcPr>
          <w:p>
            <w:pPr>
              <w:jc w:val="right"/>
              <w:rPr>
                <w:sz w:val="18"/>
                <w:szCs w:val="18"/>
              </w:rPr>
            </w:pPr>
            <w:r>
              <w:rPr>
                <w:sz w:val="18"/>
                <w:szCs w:val="18"/>
              </w:rPr>
              <w:t>- </w:t>
            </w:r>
          </w:p>
        </w:tc>
      </w:tr>
      <w:tr>
        <w:trPr>
          <w:trHeight w:val="270"/>
        </w:trPr>
        <w:tc>
          <w:tcPr>
            <w:tcW w:w="230" w:type="dxa"/>
            <w:shd w:val="clear" w:color="auto" w:fill="FFFFFF"/>
            <w:vAlign w:val="bottom"/>
          </w:tcPr>
          <w:p>
            <w:pPr>
              <w:jc w:val="center"/>
              <w:rPr>
                <w:sz w:val="18"/>
                <w:szCs w:val="18"/>
              </w:rPr>
            </w:pPr>
            <w:r>
              <w:rPr>
                <w:sz w:val="18"/>
                <w:szCs w:val="18"/>
              </w:rPr>
              <w:t>6</w:t>
            </w:r>
          </w:p>
        </w:tc>
        <w:tc>
          <w:tcPr>
            <w:tcW w:w="1077" w:type="dxa"/>
            <w:shd w:val="clear" w:color="auto" w:fill="FFFFFF"/>
            <w:vAlign w:val="bottom"/>
          </w:tcPr>
          <w:p>
            <w:pPr>
              <w:jc w:val="right"/>
              <w:rPr>
                <w:sz w:val="18"/>
                <w:szCs w:val="18"/>
              </w:rPr>
            </w:pPr>
            <w:r>
              <w:rPr>
                <w:sz w:val="18"/>
                <w:szCs w:val="18"/>
              </w:rPr>
              <w:t>16.683</w:t>
            </w:r>
          </w:p>
        </w:tc>
        <w:tc>
          <w:tcPr>
            <w:tcW w:w="1077" w:type="dxa"/>
            <w:shd w:val="clear" w:color="auto" w:fill="FFFFFF"/>
            <w:vAlign w:val="bottom"/>
          </w:tcPr>
          <w:p>
            <w:pPr>
              <w:jc w:val="right"/>
              <w:rPr>
                <w:sz w:val="18"/>
                <w:szCs w:val="18"/>
              </w:rPr>
            </w:pPr>
            <w:r>
              <w:rPr>
                <w:sz w:val="18"/>
                <w:szCs w:val="18"/>
              </w:rPr>
              <w:t>16.054</w:t>
            </w:r>
          </w:p>
        </w:tc>
        <w:tc>
          <w:tcPr>
            <w:tcW w:w="1134" w:type="dxa"/>
            <w:shd w:val="clear" w:color="auto" w:fill="FFFFFF"/>
            <w:vAlign w:val="bottom"/>
          </w:tcPr>
          <w:p>
            <w:pPr>
              <w:jc w:val="right"/>
              <w:rPr>
                <w:sz w:val="18"/>
                <w:szCs w:val="18"/>
              </w:rPr>
            </w:pPr>
            <w:r>
              <w:rPr>
                <w:sz w:val="18"/>
                <w:szCs w:val="18"/>
              </w:rPr>
              <w:t>- </w:t>
            </w:r>
          </w:p>
        </w:tc>
        <w:tc>
          <w:tcPr>
            <w:tcW w:w="1077"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 </w:t>
            </w:r>
          </w:p>
        </w:tc>
        <w:tc>
          <w:tcPr>
            <w:tcW w:w="1134" w:type="dxa"/>
            <w:shd w:val="clear" w:color="auto" w:fill="FFFFFF"/>
            <w:vAlign w:val="bottom"/>
          </w:tcPr>
          <w:p>
            <w:pPr>
              <w:jc w:val="right"/>
              <w:rPr>
                <w:sz w:val="18"/>
                <w:szCs w:val="18"/>
              </w:rPr>
            </w:pPr>
            <w:r>
              <w:rPr>
                <w:sz w:val="18"/>
                <w:szCs w:val="18"/>
              </w:rPr>
              <w:t>(3.848</w:t>
            </w:r>
            <w:r>
              <w:rPr>
                <w:sz w:val="18"/>
                <w:szCs w:val="18"/>
              </w:rPr>
              <w:t>)</w:t>
            </w:r>
          </w:p>
        </w:tc>
        <w:tc>
          <w:tcPr>
            <w:tcW w:w="1134" w:type="dxa"/>
            <w:shd w:val="clear" w:color="auto" w:fill="FFFFFF"/>
            <w:vAlign w:val="bottom"/>
          </w:tcPr>
          <w:p>
            <w:pPr>
              <w:jc w:val="right"/>
              <w:rPr>
                <w:sz w:val="18"/>
                <w:szCs w:val="18"/>
              </w:rPr>
            </w:pPr>
            <w:r>
              <w:rPr>
                <w:sz w:val="18"/>
                <w:szCs w:val="18"/>
              </w:rPr>
              <w:t>(</w:t>
            </w:r>
            <w:r>
              <w:rPr>
                <w:sz w:val="18"/>
                <w:szCs w:val="18"/>
              </w:rPr>
              <w:t>3.950</w:t>
            </w:r>
            <w:r>
              <w:rPr>
                <w:sz w:val="18"/>
                <w:szCs w:val="18"/>
              </w:rPr>
              <w:t>)</w:t>
            </w:r>
          </w:p>
        </w:tc>
        <w:tc>
          <w:tcPr>
            <w:tcW w:w="1077" w:type="dxa"/>
            <w:shd w:val="clear" w:color="auto" w:fill="FFFFFF"/>
            <w:vAlign w:val="bottom"/>
          </w:tcPr>
          <w:p>
            <w:pPr>
              <w:jc w:val="right"/>
              <w:rPr>
                <w:sz w:val="18"/>
                <w:szCs w:val="18"/>
              </w:rPr>
            </w:pPr>
            <w:r>
              <w:rPr>
                <w:sz w:val="18"/>
                <w:szCs w:val="18"/>
              </w:rPr>
              <w:t>- </w:t>
            </w:r>
          </w:p>
        </w:tc>
      </w:tr>
    </w:tbl>
    <w:p>
      <w:pPr>
        <w:tabs>
          <w:tab w:val="left" w:pos="540"/>
        </w:tabs>
        <w:ind w:left="540" w:hanging="180"/>
        <w:jc w:val="both"/>
        <w:rPr>
          <w:i/>
          <w:iCs/>
          <w:noProof/>
          <w:sz w:val="16"/>
          <w:szCs w:val="16"/>
        </w:rPr>
      </w:pPr>
    </w:p>
    <w:p>
      <w:pPr>
        <w:ind w:left="1276" w:hanging="567"/>
        <w:jc w:val="both"/>
        <w:rPr>
          <w:iCs/>
          <w:noProof/>
          <w:sz w:val="18"/>
          <w:szCs w:val="18"/>
        </w:rPr>
      </w:pPr>
      <w:r>
        <w:rPr>
          <w:iCs/>
          <w:noProof/>
          <w:sz w:val="18"/>
          <w:szCs w:val="18"/>
        </w:rPr>
        <w:t>(</w:t>
      </w:r>
      <w:r>
        <w:rPr>
          <w:iCs/>
          <w:noProof/>
          <w:sz w:val="18"/>
          <w:szCs w:val="18"/>
        </w:rPr>
        <w:t>*</w:t>
      </w:r>
      <w:r>
        <w:rPr>
          <w:iCs/>
          <w:noProof/>
          <w:sz w:val="18"/>
          <w:szCs w:val="18"/>
        </w:rPr>
        <w:t>)</w:t>
      </w:r>
      <w:r>
        <w:rPr>
          <w:iCs/>
          <w:noProof/>
          <w:sz w:val="18"/>
          <w:szCs w:val="18"/>
        </w:rPr>
        <w:tab/>
      </w:r>
      <w:r>
        <w:rPr>
          <w:iCs/>
          <w:noProof/>
          <w:sz w:val="18"/>
          <w:szCs w:val="18"/>
        </w:rPr>
        <w:t>İ</w:t>
      </w:r>
      <w:r>
        <w:rPr>
          <w:iCs/>
          <w:noProof/>
          <w:sz w:val="18"/>
          <w:szCs w:val="18"/>
        </w:rPr>
        <w:t>ştiraklere ilişkin bilanço tarihi itibarıyla değerleme çalışması bulunmamakta olup, gerçeğe uyg</w:t>
      </w:r>
      <w:r>
        <w:rPr>
          <w:iCs/>
          <w:noProof/>
          <w:sz w:val="18"/>
          <w:szCs w:val="18"/>
        </w:rPr>
        <w:t>un değerleri güvenilir olarak</w:t>
      </w:r>
      <w:r>
        <w:rPr>
          <w:iCs/>
          <w:noProof/>
          <w:sz w:val="18"/>
          <w:szCs w:val="18"/>
        </w:rPr>
        <w:t xml:space="preserve"> tespit edilememiştir.</w:t>
      </w:r>
    </w:p>
    <w:p>
      <w:pPr>
        <w:ind w:left="1134" w:hanging="425"/>
        <w:jc w:val="both"/>
        <w:rPr>
          <w:iCs/>
          <w:noProof/>
          <w:sz w:val="12"/>
          <w:szCs w:val="12"/>
        </w:rPr>
      </w:pPr>
    </w:p>
    <w:p>
      <w:pPr>
        <w:tabs>
          <w:tab w:val="left" w:pos="426"/>
        </w:tabs>
        <w:ind w:left="1276" w:hanging="567"/>
        <w:jc w:val="both"/>
        <w:rPr>
          <w:iCs/>
          <w:noProof/>
          <w:sz w:val="18"/>
          <w:szCs w:val="18"/>
        </w:rPr>
      </w:pPr>
      <w:r>
        <w:rPr>
          <w:iCs/>
          <w:noProof/>
          <w:sz w:val="18"/>
          <w:szCs w:val="18"/>
        </w:rPr>
        <w:t>(**)</w:t>
      </w:r>
      <w:r>
        <w:rPr>
          <w:iCs/>
          <w:noProof/>
          <w:sz w:val="18"/>
          <w:szCs w:val="18"/>
        </w:rPr>
        <w:tab/>
      </w:r>
      <w:r>
        <w:rPr>
          <w:iCs/>
          <w:noProof/>
          <w:sz w:val="18"/>
          <w:szCs w:val="18"/>
        </w:rPr>
        <w:t>Maksan A.Ş.,</w:t>
      </w:r>
      <w:r>
        <w:rPr>
          <w:iCs/>
          <w:noProof/>
          <w:sz w:val="18"/>
          <w:szCs w:val="18"/>
        </w:rPr>
        <w:t>Türk Suudi H</w:t>
      </w:r>
      <w:r>
        <w:rPr>
          <w:iCs/>
          <w:noProof/>
          <w:sz w:val="18"/>
          <w:szCs w:val="18"/>
        </w:rPr>
        <w:t>old</w:t>
      </w:r>
      <w:r>
        <w:rPr>
          <w:iCs/>
          <w:noProof/>
          <w:sz w:val="18"/>
          <w:szCs w:val="18"/>
        </w:rPr>
        <w:t xml:space="preserve">ing A.Ş., </w:t>
      </w:r>
      <w:r>
        <w:rPr>
          <w:iCs/>
          <w:noProof/>
          <w:sz w:val="18"/>
          <w:szCs w:val="18"/>
        </w:rPr>
        <w:t>Yozgat Otelcilik A.Ş.</w:t>
      </w:r>
      <w:r>
        <w:rPr>
          <w:iCs/>
          <w:noProof/>
          <w:sz w:val="18"/>
          <w:szCs w:val="18"/>
        </w:rPr>
        <w:t xml:space="preserve"> ve İstanbul Risk Sermayesi Girişimi</w:t>
      </w:r>
      <w:r>
        <w:rPr>
          <w:iCs/>
          <w:noProof/>
          <w:sz w:val="18"/>
          <w:szCs w:val="18"/>
        </w:rPr>
        <w:t>’</w:t>
      </w:r>
      <w:r>
        <w:rPr>
          <w:iCs/>
          <w:noProof/>
          <w:sz w:val="18"/>
          <w:szCs w:val="18"/>
        </w:rPr>
        <w:t>nin verileri 3</w:t>
      </w:r>
      <w:r>
        <w:rPr>
          <w:iCs/>
          <w:noProof/>
          <w:sz w:val="18"/>
          <w:szCs w:val="18"/>
        </w:rPr>
        <w:t>1</w:t>
      </w:r>
      <w:r>
        <w:rPr>
          <w:iCs/>
          <w:noProof/>
          <w:sz w:val="18"/>
          <w:szCs w:val="18"/>
        </w:rPr>
        <w:t xml:space="preserve"> </w:t>
      </w:r>
      <w:r>
        <w:rPr>
          <w:iCs/>
          <w:noProof/>
          <w:sz w:val="18"/>
          <w:szCs w:val="18"/>
        </w:rPr>
        <w:t>Mart</w:t>
      </w:r>
      <w:r>
        <w:rPr>
          <w:iCs/>
          <w:noProof/>
          <w:sz w:val="18"/>
          <w:szCs w:val="18"/>
        </w:rPr>
        <w:t xml:space="preserve"> 201</w:t>
      </w:r>
      <w:r>
        <w:rPr>
          <w:iCs/>
          <w:noProof/>
          <w:sz w:val="18"/>
          <w:szCs w:val="18"/>
        </w:rPr>
        <w:t>1</w:t>
      </w:r>
      <w:r>
        <w:rPr>
          <w:iCs/>
          <w:noProof/>
          <w:sz w:val="18"/>
          <w:szCs w:val="18"/>
        </w:rPr>
        <w:t xml:space="preserve"> tarihli </w:t>
      </w:r>
      <w:r>
        <w:rPr>
          <w:iCs/>
          <w:noProof/>
          <w:sz w:val="18"/>
          <w:szCs w:val="18"/>
        </w:rPr>
        <w:t xml:space="preserve">denetlenmemiş </w:t>
      </w:r>
      <w:r>
        <w:rPr>
          <w:iCs/>
          <w:noProof/>
          <w:sz w:val="18"/>
          <w:szCs w:val="18"/>
        </w:rPr>
        <w:t>finansal tablolarından alınm</w:t>
      </w:r>
      <w:r>
        <w:rPr>
          <w:iCs/>
          <w:noProof/>
          <w:sz w:val="18"/>
          <w:szCs w:val="18"/>
        </w:rPr>
        <w:t>ı</w:t>
      </w:r>
      <w:r>
        <w:rPr>
          <w:iCs/>
          <w:noProof/>
          <w:sz w:val="18"/>
          <w:szCs w:val="18"/>
        </w:rPr>
        <w:t xml:space="preserve">ştır </w:t>
      </w:r>
      <w:r>
        <w:rPr>
          <w:iCs/>
          <w:noProof/>
          <w:sz w:val="18"/>
          <w:szCs w:val="18"/>
        </w:rPr>
        <w:t>(İstanbul Risk Sermayesi Girişimi (“</w:t>
      </w:r>
      <w:r>
        <w:rPr>
          <w:iCs/>
          <w:noProof/>
          <w:sz w:val="18"/>
          <w:szCs w:val="18"/>
        </w:rPr>
        <w:t>IVCI</w:t>
      </w:r>
      <w:r>
        <w:rPr>
          <w:iCs/>
          <w:noProof/>
          <w:sz w:val="18"/>
          <w:szCs w:val="18"/>
        </w:rPr>
        <w:t>")’nin taahhüt edilen sermayesi 160 Milyon EURO olup, Banka’nın sermaye taahhüdü 10 Milyon EURO’dur. Banka 800.000 EURO sermaye payı ödemesi yapmıştır.)</w:t>
      </w:r>
      <w:r>
        <w:rPr>
          <w:iCs/>
          <w:noProof/>
          <w:sz w:val="18"/>
          <w:szCs w:val="18"/>
        </w:rPr>
        <w:t>.</w:t>
      </w:r>
      <w:r>
        <w:rPr>
          <w:iCs/>
          <w:noProof/>
          <w:sz w:val="18"/>
          <w:szCs w:val="18"/>
        </w:rPr>
        <w:t xml:space="preserve"> </w:t>
      </w:r>
      <w:r>
        <w:rPr>
          <w:iCs/>
          <w:noProof/>
          <w:sz w:val="18"/>
          <w:szCs w:val="18"/>
        </w:rPr>
        <w:t>Söz konusu iştiraklere ilişkin önceki dönem kar/zarar tutarlar</w:t>
      </w:r>
      <w:r>
        <w:rPr>
          <w:iCs/>
          <w:noProof/>
          <w:sz w:val="18"/>
          <w:szCs w:val="18"/>
        </w:rPr>
        <w:t xml:space="preserve">ı 31 </w:t>
      </w:r>
      <w:r>
        <w:rPr>
          <w:iCs/>
          <w:noProof/>
          <w:sz w:val="18"/>
          <w:szCs w:val="18"/>
        </w:rPr>
        <w:t>Mart</w:t>
      </w:r>
      <w:r>
        <w:rPr>
          <w:iCs/>
          <w:noProof/>
          <w:sz w:val="18"/>
          <w:szCs w:val="18"/>
        </w:rPr>
        <w:t xml:space="preserve"> </w:t>
      </w:r>
      <w:r>
        <w:rPr>
          <w:iCs/>
          <w:noProof/>
          <w:sz w:val="18"/>
          <w:szCs w:val="18"/>
        </w:rPr>
        <w:t>20</w:t>
      </w:r>
      <w:r>
        <w:rPr>
          <w:iCs/>
          <w:noProof/>
          <w:sz w:val="18"/>
          <w:szCs w:val="18"/>
        </w:rPr>
        <w:t>1</w:t>
      </w:r>
      <w:r>
        <w:rPr>
          <w:iCs/>
          <w:noProof/>
          <w:sz w:val="18"/>
          <w:szCs w:val="18"/>
        </w:rPr>
        <w:t>0</w:t>
      </w:r>
      <w:r>
        <w:rPr>
          <w:iCs/>
          <w:noProof/>
          <w:sz w:val="18"/>
          <w:szCs w:val="18"/>
        </w:rPr>
        <w:t xml:space="preserve"> tarihli denetimden geçmemiş finansal tablolarından alınmıştır.</w:t>
      </w:r>
    </w:p>
    <w:p>
      <w:pPr>
        <w:tabs>
          <w:tab w:val="left" w:pos="426"/>
        </w:tabs>
        <w:ind w:left="1134" w:hanging="425"/>
        <w:jc w:val="both"/>
        <w:rPr>
          <w:iCs/>
          <w:noProof/>
          <w:sz w:val="12"/>
          <w:szCs w:val="12"/>
        </w:rPr>
      </w:pPr>
    </w:p>
    <w:p>
      <w:pPr>
        <w:ind w:left="1276" w:hanging="567"/>
        <w:jc w:val="both"/>
        <w:rPr>
          <w:iCs/>
          <w:sz w:val="18"/>
          <w:szCs w:val="18"/>
        </w:rPr>
      </w:pPr>
      <w:r>
        <w:rPr>
          <w:iCs/>
          <w:sz w:val="18"/>
          <w:szCs w:val="18"/>
        </w:rPr>
        <w:t>(***)</w:t>
      </w:r>
      <w:r>
        <w:rPr>
          <w:iCs/>
          <w:sz w:val="18"/>
          <w:szCs w:val="18"/>
        </w:rPr>
        <w:tab/>
      </w:r>
      <w:r>
        <w:rPr>
          <w:iCs/>
          <w:sz w:val="18"/>
          <w:szCs w:val="18"/>
        </w:rPr>
        <w:t>Teşebbüs Destekleme Ajansı ve Türsan</w:t>
      </w:r>
      <w:r>
        <w:rPr>
          <w:iCs/>
          <w:sz w:val="18"/>
          <w:szCs w:val="18"/>
        </w:rPr>
        <w:t xml:space="preserve"> gayrifaal durumdadır.</w:t>
      </w:r>
    </w:p>
    <w:p>
      <w:pPr>
        <w:tabs>
          <w:tab w:val="left" w:pos="720"/>
        </w:tabs>
        <w:jc w:val="both"/>
        <w:rPr>
          <w:iCs/>
          <w:noProof/>
          <w:sz w:val="16"/>
          <w:szCs w:val="16"/>
        </w:rPr>
      </w:pPr>
      <w:r>
        <w:rPr>
          <w:iCs/>
          <w:noProof/>
          <w:sz w:val="16"/>
          <w:szCs w:val="16"/>
        </w:rPr>
        <w:br w:type="page"/>
      </w:r>
    </w:p>
    <w:p>
      <w:pPr>
        <w:tabs>
          <w:tab w:val="left" w:pos="567"/>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pStyle w:val="Heading2"/>
        <w:tabs>
          <w:tab w:val="left" w:pos="567"/>
          <w:tab w:val="left" w:pos="720"/>
        </w:tabs>
        <w:spacing w:before="0"/>
        <w:rPr>
          <w:i w:val="0"/>
          <w:sz w:val="18"/>
          <w:szCs w:val="18"/>
          <w:lang w:eastAsia="en-US"/>
        </w:rPr>
      </w:pPr>
    </w:p>
    <w:p>
      <w:pPr>
        <w:tabs>
          <w:tab w:val="left" w:pos="567"/>
        </w:tabs>
        <w:jc w:val="both"/>
        <w:rPr>
          <w:b/>
          <w:bCs/>
          <w:snapToGrid w:val="0"/>
          <w:sz w:val="22"/>
          <w:szCs w:val="22"/>
        </w:rPr>
      </w:pPr>
      <w:r>
        <w:rPr>
          <w:b/>
          <w:bCs/>
          <w:snapToGrid w:val="0"/>
          <w:sz w:val="22"/>
          <w:szCs w:val="22"/>
        </w:rPr>
        <w:t>7.c.</w:t>
      </w:r>
      <w:r>
        <w:rPr>
          <w:b/>
          <w:bCs/>
          <w:snapToGrid w:val="0"/>
          <w:sz w:val="22"/>
          <w:szCs w:val="22"/>
        </w:rPr>
        <w:tab/>
        <w:t>İştiraklere ilişkin hareket tablosu:</w:t>
      </w:r>
    </w:p>
    <w:p>
      <w:pPr>
        <w:tabs>
          <w:tab w:val="left" w:pos="567"/>
        </w:tabs>
        <w:jc w:val="both"/>
        <w:rPr>
          <w:b/>
          <w:bCs/>
          <w:snapToGrid w:val="0"/>
          <w:sz w:val="22"/>
          <w:szCs w:val="22"/>
        </w:rPr>
      </w:pP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30.06</w:t>
            </w:r>
            <w:r>
              <w:rPr>
                <w:b/>
                <w:sz w:val="18"/>
                <w:szCs w:val="18"/>
              </w:rPr>
              <w:t>.2011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6.415</w:t>
            </w:r>
          </w:p>
        </w:tc>
        <w:tc>
          <w:tcPr>
            <w:tcW w:w="1984" w:type="dxa"/>
            <w:shd w:val="clear" w:color="auto" w:fill="auto"/>
            <w:noWrap/>
            <w:vAlign w:val="bottom"/>
            <w:hideMark/>
          </w:tcPr>
          <w:p>
            <w:pPr>
              <w:jc w:val="right"/>
              <w:rPr>
                <w:sz w:val="18"/>
                <w:szCs w:val="18"/>
              </w:rPr>
            </w:pPr>
            <w:r>
              <w:rPr>
                <w:sz w:val="18"/>
                <w:szCs w:val="18"/>
              </w:rPr>
              <w:t>6.121</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w:t>
            </w:r>
            <w:r>
              <w:rPr>
                <w:sz w:val="18"/>
                <w:szCs w:val="18"/>
              </w:rPr>
              <w:t>68</w:t>
            </w:r>
            <w:r>
              <w:rPr>
                <w:sz w:val="18"/>
                <w:szCs w:val="18"/>
              </w:rPr>
              <w:t>)</w:t>
            </w:r>
          </w:p>
        </w:tc>
        <w:tc>
          <w:tcPr>
            <w:tcW w:w="1984" w:type="dxa"/>
            <w:shd w:val="clear" w:color="auto" w:fill="auto"/>
            <w:noWrap/>
            <w:vAlign w:val="bottom"/>
            <w:hideMark/>
          </w:tcPr>
          <w:p>
            <w:pPr>
              <w:jc w:val="right"/>
              <w:rPr>
                <w:sz w:val="18"/>
                <w:szCs w:val="18"/>
              </w:rPr>
            </w:pPr>
            <w:r>
              <w:rPr>
                <w:sz w:val="18"/>
                <w:szCs w:val="18"/>
              </w:rPr>
              <w:t>294</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w:t>
            </w:r>
            <w:r>
              <w:rPr>
                <w:sz w:val="18"/>
                <w:szCs w:val="18"/>
              </w:rPr>
              <w:t>r</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8"/>
                <w:szCs w:val="18"/>
              </w:rPr>
            </w:pPr>
            <w:r>
              <w:rPr>
                <w:sz w:val="18"/>
                <w:szCs w:val="18"/>
              </w:rPr>
              <w:t>968</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8"/>
                <w:szCs w:val="18"/>
              </w:rPr>
            </w:pPr>
            <w:r>
              <w:rPr>
                <w:sz w:val="18"/>
                <w:szCs w:val="18"/>
              </w:rPr>
              <w:t>(</w:t>
            </w:r>
            <w:r>
              <w:rPr>
                <w:sz w:val="18"/>
                <w:szCs w:val="18"/>
              </w:rPr>
              <w:t>1.218</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8"/>
                <w:szCs w:val="18"/>
              </w:rPr>
            </w:pPr>
            <w:r>
              <w:rPr>
                <w:sz w:val="18"/>
                <w:szCs w:val="18"/>
              </w:rPr>
              <w:t>91</w:t>
            </w:r>
          </w:p>
        </w:tc>
        <w:tc>
          <w:tcPr>
            <w:tcW w:w="1984" w:type="dxa"/>
            <w:shd w:val="clear" w:color="auto" w:fill="auto"/>
            <w:noWrap/>
            <w:vAlign w:val="bottom"/>
            <w:hideMark/>
          </w:tcPr>
          <w:p>
            <w:pPr>
              <w:jc w:val="right"/>
              <w:rPr>
                <w:sz w:val="18"/>
                <w:szCs w:val="18"/>
              </w:rPr>
            </w:pP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w:t>
            </w:r>
            <w:r>
              <w:rPr>
                <w:sz w:val="18"/>
                <w:szCs w:val="18"/>
              </w:rPr>
              <w:t>159</w:t>
            </w:r>
            <w:r>
              <w:rPr>
                <w:sz w:val="18"/>
                <w:szCs w:val="18"/>
              </w:rPr>
              <w:t>)</w:t>
            </w:r>
          </w:p>
        </w:tc>
        <w:tc>
          <w:tcPr>
            <w:tcW w:w="1984" w:type="dxa"/>
            <w:shd w:val="clear" w:color="auto" w:fill="auto"/>
            <w:noWrap/>
            <w:vAlign w:val="bottom"/>
            <w:hideMark/>
          </w:tcPr>
          <w:p>
            <w:pPr>
              <w:jc w:val="right"/>
              <w:rPr>
                <w:sz w:val="18"/>
                <w:szCs w:val="18"/>
              </w:rPr>
            </w:pPr>
            <w:r>
              <w:rPr>
                <w:sz w:val="18"/>
                <w:szCs w:val="18"/>
              </w:rPr>
              <w:t>(</w:t>
            </w:r>
            <w:r>
              <w:rPr>
                <w:sz w:val="18"/>
                <w:szCs w:val="18"/>
              </w:rPr>
              <w:t>544</w:t>
            </w:r>
            <w:r>
              <w:rPr>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6.347</w:t>
            </w:r>
          </w:p>
        </w:tc>
        <w:tc>
          <w:tcPr>
            <w:tcW w:w="1984" w:type="dxa"/>
            <w:shd w:val="clear" w:color="auto" w:fill="auto"/>
            <w:noWrap/>
            <w:vAlign w:val="bottom"/>
            <w:hideMark/>
          </w:tcPr>
          <w:p>
            <w:pPr>
              <w:jc w:val="right"/>
              <w:rPr>
                <w:sz w:val="18"/>
                <w:szCs w:val="18"/>
              </w:rPr>
            </w:pPr>
            <w:r>
              <w:rPr>
                <w:sz w:val="18"/>
                <w:szCs w:val="18"/>
              </w:rPr>
              <w:t>6.415</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rPr>
                <w:sz w:val="18"/>
                <w:szCs w:val="18"/>
              </w:rPr>
            </w:pPr>
            <w:r>
              <w:rPr>
                <w:sz w:val="18"/>
                <w:szCs w:val="18"/>
              </w:rPr>
              <w:t>Dönem Sonu Sermaye Katılma Payı (%)</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bl>
    <w:p>
      <w:pPr>
        <w:rPr>
          <w:lang w:eastAsia="en-US"/>
        </w:rPr>
      </w:pPr>
    </w:p>
    <w:p>
      <w:pPr>
        <w:pStyle w:val="1tipi"/>
        <w:tabs>
          <w:tab w:val="clear" w:pos="1134"/>
          <w:tab w:val="left" w:pos="567"/>
        </w:tabs>
        <w:rPr>
          <w:rFonts w:ascii="Times New Roman" w:hAnsi="Times New Roman" w:cs="Times New Roman"/>
          <w:b/>
          <w:bCs/>
          <w:sz w:val="22"/>
          <w:szCs w:val="22"/>
          <w:lang w:val="tr-TR"/>
        </w:rPr>
      </w:pPr>
      <w:r>
        <w:rPr>
          <w:b/>
          <w:bCs/>
          <w:snapToGrid w:val="0"/>
          <w:sz w:val="22"/>
          <w:szCs w:val="22"/>
        </w:rPr>
        <w:t>7.ç.</w:t>
      </w:r>
      <w:r>
        <w:rPr>
          <w:b/>
          <w:bCs/>
          <w:snapToGrid w:val="0"/>
          <w:sz w:val="22"/>
          <w:szCs w:val="22"/>
        </w:rPr>
        <w:tab/>
      </w:r>
      <w:r>
        <w:rPr>
          <w:rFonts w:ascii="Times New Roman" w:hAnsi="Times New Roman" w:cs="Times New Roman"/>
          <w:b/>
          <w:bCs/>
          <w:sz w:val="22"/>
          <w:szCs w:val="22"/>
          <w:lang w:val="tr-TR"/>
        </w:rPr>
        <w:t>İştiraklere ilişkin sektör bilgileri ve bunlara ilişkin kayıtlı tutarlar:</w:t>
      </w:r>
    </w:p>
    <w:p>
      <w:pPr>
        <w:jc w:val="both"/>
        <w:rPr>
          <w:b/>
          <w:bCs/>
          <w:snapToGrid w:val="0"/>
          <w:sz w:val="12"/>
          <w:szCs w:val="12"/>
        </w:rPr>
      </w:pPr>
    </w:p>
    <w:p>
      <w:pPr>
        <w:rPr>
          <w:lang w:eastAsia="en-US"/>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72"/>
        <w:gridCol w:w="2041"/>
        <w:gridCol w:w="1928"/>
      </w:tblGrid>
      <w:tr>
        <w:trPr>
          <w:trHeight w:val="227"/>
        </w:trPr>
        <w:tc>
          <w:tcPr>
            <w:tcW w:w="5272" w:type="dxa"/>
            <w:shd w:val="clear" w:color="000000" w:fill="FFFFFF"/>
            <w:noWrap/>
            <w:vAlign w:val="bottom"/>
            <w:hideMark/>
          </w:tcPr>
          <w:p>
            <w:pPr>
              <w:rPr>
                <w:sz w:val="18"/>
                <w:szCs w:val="18"/>
              </w:rPr>
            </w:pPr>
            <w:r>
              <w:rPr>
                <w:sz w:val="18"/>
                <w:szCs w:val="18"/>
              </w:rPr>
              <w:t> </w:t>
            </w:r>
          </w:p>
        </w:tc>
        <w:tc>
          <w:tcPr>
            <w:tcW w:w="2041"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30.06</w:t>
            </w:r>
            <w:r>
              <w:rPr>
                <w:b/>
                <w:sz w:val="18"/>
                <w:szCs w:val="18"/>
              </w:rPr>
              <w:t>.201</w:t>
            </w:r>
            <w:r>
              <w:rPr>
                <w:b/>
                <w:sz w:val="18"/>
                <w:szCs w:val="18"/>
              </w:rPr>
              <w:t>1</w:t>
            </w:r>
            <w:r>
              <w:rPr>
                <w:b/>
                <w:sz w:val="18"/>
                <w:szCs w:val="18"/>
              </w:rPr>
              <w:t>)</w:t>
            </w:r>
          </w:p>
        </w:tc>
        <w:tc>
          <w:tcPr>
            <w:tcW w:w="1928"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(31.</w:t>
            </w:r>
            <w:r>
              <w:rPr>
                <w:b/>
                <w:sz w:val="18"/>
                <w:szCs w:val="18"/>
              </w:rPr>
              <w:t>12</w:t>
            </w:r>
            <w:r>
              <w:rPr>
                <w:b/>
                <w:sz w:val="18"/>
                <w:szCs w:val="18"/>
              </w:rPr>
              <w:t>.20</w:t>
            </w:r>
            <w:r>
              <w:rPr>
                <w:b/>
                <w:sz w:val="18"/>
                <w:szCs w:val="18"/>
              </w:rPr>
              <w:t>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 xml:space="preserve">Bankalar </w:t>
            </w:r>
          </w:p>
        </w:tc>
        <w:tc>
          <w:tcPr>
            <w:tcW w:w="2041" w:type="dxa"/>
            <w:shd w:val="clear" w:color="auto" w:fill="auto"/>
            <w:vAlign w:val="bottom"/>
            <w:hideMark/>
          </w:tcPr>
          <w:p>
            <w:pPr>
              <w:jc w:val="right"/>
              <w:rPr>
                <w:sz w:val="16"/>
                <w:szCs w:val="16"/>
              </w:rPr>
            </w:pPr>
            <w:r>
              <w:rPr>
                <w:sz w:val="16"/>
                <w:szCs w:val="16"/>
              </w:rPr>
              <w:t>- </w:t>
            </w:r>
          </w:p>
        </w:tc>
        <w:tc>
          <w:tcPr>
            <w:tcW w:w="1928" w:type="dxa"/>
            <w:shd w:val="clear" w:color="auto" w:fill="auto"/>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Sigorta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Faktoring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Leasing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Finansman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Diğer Mali İştirakler</w:t>
            </w:r>
          </w:p>
        </w:tc>
        <w:tc>
          <w:tcPr>
            <w:tcW w:w="2041" w:type="dxa"/>
            <w:shd w:val="clear" w:color="auto" w:fill="auto"/>
            <w:noWrap/>
            <w:vAlign w:val="bottom"/>
            <w:hideMark/>
          </w:tcPr>
          <w:p>
            <w:pPr>
              <w:jc w:val="right"/>
              <w:rPr>
                <w:sz w:val="18"/>
                <w:szCs w:val="18"/>
              </w:rPr>
            </w:pPr>
            <w:r>
              <w:rPr>
                <w:sz w:val="18"/>
                <w:szCs w:val="18"/>
              </w:rPr>
              <w:t>1.003</w:t>
            </w:r>
          </w:p>
        </w:tc>
        <w:tc>
          <w:tcPr>
            <w:tcW w:w="1928" w:type="dxa"/>
            <w:shd w:val="clear" w:color="auto" w:fill="auto"/>
            <w:noWrap/>
            <w:vAlign w:val="bottom"/>
            <w:hideMark/>
          </w:tcPr>
          <w:p>
            <w:pPr>
              <w:jc w:val="right"/>
              <w:rPr>
                <w:sz w:val="18"/>
                <w:szCs w:val="18"/>
              </w:rPr>
            </w:pPr>
            <w:r>
              <w:rPr>
                <w:sz w:val="18"/>
                <w:szCs w:val="18"/>
              </w:rPr>
              <w:t>912</w:t>
            </w:r>
          </w:p>
        </w:tc>
      </w:tr>
    </w:tbl>
    <w:p>
      <w:pPr>
        <w:rPr>
          <w:lang w:eastAsia="en-US"/>
        </w:rPr>
      </w:pPr>
    </w:p>
    <w:p>
      <w:pPr>
        <w:pStyle w:val="BodyTextIndent"/>
        <w:tabs>
          <w:tab w:val="left" w:pos="567"/>
        </w:tabs>
        <w:ind w:firstLine="0"/>
        <w:rPr>
          <w:b/>
          <w:iCs/>
          <w:sz w:val="22"/>
          <w:szCs w:val="22"/>
        </w:rPr>
      </w:pPr>
      <w:r>
        <w:rPr>
          <w:b/>
          <w:sz w:val="22"/>
          <w:szCs w:val="22"/>
        </w:rPr>
        <w:t>7.</w:t>
      </w:r>
      <w:r>
        <w:rPr>
          <w:b/>
          <w:sz w:val="22"/>
          <w:szCs w:val="22"/>
        </w:rPr>
        <w:t>d</w:t>
      </w:r>
      <w:r>
        <w:rPr>
          <w:b/>
          <w:sz w:val="22"/>
          <w:szCs w:val="22"/>
        </w:rPr>
        <w:t>.</w:t>
      </w:r>
      <w:r>
        <w:rPr>
          <w:b/>
          <w:sz w:val="22"/>
          <w:szCs w:val="22"/>
        </w:rPr>
        <w:tab/>
      </w:r>
      <w:r>
        <w:rPr>
          <w:b/>
          <w:sz w:val="22"/>
          <w:szCs w:val="22"/>
        </w:rPr>
        <w:t>B</w:t>
      </w:r>
      <w:r>
        <w:rPr>
          <w:b/>
          <w:iCs/>
          <w:sz w:val="22"/>
          <w:szCs w:val="22"/>
        </w:rPr>
        <w:t xml:space="preserve">orsaya kote edilen iştirakler: </w:t>
      </w:r>
    </w:p>
    <w:p>
      <w:pPr>
        <w:pStyle w:val="BodyTextIndent"/>
        <w:ind w:firstLine="567"/>
        <w:rPr>
          <w:iCs/>
          <w:sz w:val="12"/>
          <w:szCs w:val="12"/>
        </w:rPr>
      </w:pPr>
    </w:p>
    <w:p>
      <w:pPr>
        <w:pStyle w:val="BodyTextIndent"/>
        <w:ind w:firstLine="567"/>
        <w:rPr>
          <w:iCs/>
          <w:sz w:val="22"/>
          <w:szCs w:val="22"/>
        </w:rPr>
      </w:pPr>
      <w:r>
        <w:rPr>
          <w:iCs/>
          <w:sz w:val="22"/>
          <w:szCs w:val="22"/>
        </w:rPr>
        <w:t>Bulunmamaktadır</w:t>
      </w:r>
      <w:r>
        <w:rPr>
          <w:iCs/>
          <w:sz w:val="22"/>
          <w:szCs w:val="22"/>
        </w:rPr>
        <w:t>.</w:t>
      </w:r>
      <w:r>
        <w:rPr>
          <w:iCs/>
          <w:sz w:val="22"/>
          <w:szCs w:val="22"/>
        </w:rPr>
        <w:t xml:space="preserve"> </w:t>
      </w:r>
    </w:p>
    <w:p>
      <w:pPr>
        <w:pStyle w:val="BodyTextIndent"/>
        <w:rPr>
          <w:bCs/>
          <w:sz w:val="12"/>
          <w:szCs w:val="12"/>
        </w:rPr>
      </w:pPr>
    </w:p>
    <w:p>
      <w:pPr>
        <w:tabs>
          <w:tab w:val="left" w:pos="567"/>
        </w:tabs>
        <w:jc w:val="both"/>
        <w:rPr>
          <w:b/>
          <w:bCs/>
          <w:snapToGrid w:val="0"/>
          <w:sz w:val="22"/>
          <w:szCs w:val="22"/>
        </w:rPr>
      </w:pPr>
      <w:r>
        <w:rPr>
          <w:b/>
          <w:bCs/>
          <w:snapToGrid w:val="0"/>
          <w:sz w:val="22"/>
          <w:szCs w:val="22"/>
        </w:rPr>
        <w:t>8.</w:t>
      </w:r>
      <w:r>
        <w:rPr>
          <w:b/>
          <w:bCs/>
          <w:snapToGrid w:val="0"/>
          <w:sz w:val="22"/>
          <w:szCs w:val="22"/>
        </w:rPr>
        <w:tab/>
      </w:r>
      <w:r>
        <w:rPr>
          <w:b/>
          <w:bCs/>
          <w:snapToGrid w:val="0"/>
          <w:sz w:val="22"/>
          <w:szCs w:val="22"/>
        </w:rPr>
        <w:t>Bağlı ortaklıklara ilişkin bilgiler (Net):</w:t>
      </w:r>
    </w:p>
    <w:p>
      <w:pPr>
        <w:tabs>
          <w:tab w:val="left" w:pos="567"/>
        </w:tabs>
        <w:jc w:val="both"/>
        <w:rPr>
          <w:b/>
          <w:bCs/>
          <w:snapToGrid w:val="0"/>
          <w:sz w:val="22"/>
          <w:szCs w:val="22"/>
        </w:rPr>
      </w:pPr>
    </w:p>
    <w:p>
      <w:pPr>
        <w:pStyle w:val="Heading1"/>
        <w:tabs>
          <w:tab w:val="left" w:pos="567"/>
        </w:tabs>
        <w:spacing w:before="0"/>
        <w:jc w:val="both"/>
        <w:rPr>
          <w:rFonts w:ascii="Times New Roman" w:hAnsi="Times New Roman"/>
          <w:noProof/>
          <w:sz w:val="22"/>
          <w:szCs w:val="22"/>
        </w:rPr>
      </w:pPr>
      <w:r>
        <w:rPr>
          <w:rFonts w:ascii="Times New Roman" w:hAnsi="Times New Roman"/>
          <w:noProof/>
          <w:sz w:val="22"/>
          <w:szCs w:val="22"/>
        </w:rPr>
        <w:t>8.</w:t>
      </w:r>
      <w:r>
        <w:rPr>
          <w:rFonts w:ascii="Times New Roman" w:hAnsi="Times New Roman"/>
          <w:noProof/>
          <w:sz w:val="22"/>
          <w:szCs w:val="22"/>
        </w:rPr>
        <w:t>a</w:t>
      </w:r>
      <w:r>
        <w:rPr>
          <w:rFonts w:ascii="Times New Roman" w:hAnsi="Times New Roman"/>
          <w:noProof/>
          <w:sz w:val="22"/>
          <w:szCs w:val="22"/>
        </w:rPr>
        <w:t>.</w:t>
      </w:r>
      <w:r>
        <w:rPr>
          <w:rFonts w:ascii="Times New Roman" w:hAnsi="Times New Roman"/>
          <w:noProof/>
          <w:sz w:val="22"/>
          <w:szCs w:val="22"/>
        </w:rPr>
        <w:tab/>
      </w:r>
      <w:r>
        <w:rPr>
          <w:rFonts w:ascii="Times New Roman" w:hAnsi="Times New Roman"/>
          <w:noProof/>
          <w:sz w:val="22"/>
          <w:szCs w:val="22"/>
        </w:rPr>
        <w:t>B</w:t>
      </w:r>
      <w:r>
        <w:rPr>
          <w:rFonts w:ascii="Times New Roman" w:hAnsi="Times New Roman"/>
          <w:noProof/>
          <w:sz w:val="22"/>
          <w:szCs w:val="22"/>
        </w:rPr>
        <w:t>ağlı ortaklıklara ilişkin</w:t>
      </w:r>
      <w:r>
        <w:rPr>
          <w:rFonts w:ascii="Times New Roman" w:hAnsi="Times New Roman"/>
          <w:noProof/>
          <w:sz w:val="22"/>
          <w:szCs w:val="22"/>
        </w:rPr>
        <w:t xml:space="preserve"> genel </w:t>
      </w:r>
      <w:r>
        <w:rPr>
          <w:rFonts w:ascii="Times New Roman" w:hAnsi="Times New Roman"/>
          <w:noProof/>
          <w:sz w:val="22"/>
          <w:szCs w:val="22"/>
        </w:rPr>
        <w:t xml:space="preserve"> bilgiler:</w:t>
      </w:r>
    </w:p>
    <w:p>
      <w:pPr>
        <w:ind w:left="709"/>
        <w:rPr>
          <w:sz w:val="12"/>
          <w:szCs w:val="12"/>
          <w:lang w:eastAsia="en-US"/>
        </w:rPr>
      </w:pPr>
    </w:p>
    <w:tbl>
      <w:tblPr>
        <w:tblW w:w="9243" w:type="dxa"/>
        <w:tblInd w:w="637" w:type="dxa"/>
        <w:tblLayout w:type="fixed"/>
        <w:tblCellMar>
          <w:left w:w="70" w:type="dxa"/>
          <w:right w:w="70" w:type="dxa"/>
        </w:tblCellMar>
        <w:tblLook w:val="00A0"/>
      </w:tblPr>
      <w:tblGrid>
        <w:gridCol w:w="229"/>
        <w:gridCol w:w="3572"/>
        <w:gridCol w:w="1587"/>
        <w:gridCol w:w="2324"/>
        <w:gridCol w:w="1531"/>
      </w:tblGrid>
      <w:tr>
        <w:trPr>
          <w:trHeight w:val="283"/>
        </w:trPr>
        <w:tc>
          <w:tcPr>
            <w:tcW w:w="229" w:type="dxa"/>
            <w:tcBorders>
              <w:top w:val="single" w:sz="4" w:space="0" w:color="auto"/>
              <w:left w:val="single" w:sz="4" w:space="0" w:color="auto"/>
              <w:bottom w:val="single" w:sz="4" w:space="0" w:color="auto"/>
              <w:right w:val="nil"/>
            </w:tcBorders>
            <w:vAlign w:val="bottom"/>
          </w:tcPr>
          <w:p>
            <w:pPr>
              <w:rPr>
                <w:sz w:val="18"/>
                <w:szCs w:val="18"/>
              </w:rPr>
            </w:pPr>
            <w:r>
              <w:rPr>
                <w:sz w:val="18"/>
                <w:szCs w:val="18"/>
              </w:rPr>
              <w:t> </w:t>
            </w:r>
          </w:p>
        </w:tc>
        <w:tc>
          <w:tcPr>
            <w:tcW w:w="3572" w:type="dxa"/>
            <w:tcBorders>
              <w:top w:val="single" w:sz="4" w:space="0" w:color="auto"/>
              <w:left w:val="nil"/>
              <w:bottom w:val="single" w:sz="4" w:space="0" w:color="auto"/>
              <w:right w:val="single" w:sz="4" w:space="0" w:color="auto"/>
            </w:tcBorders>
            <w:shd w:val="clear" w:color="000000" w:fill="FFFFFF"/>
            <w:vAlign w:val="bottom"/>
          </w:tcPr>
          <w:p>
            <w:pPr>
              <w:jc w:val="center"/>
              <w:rPr>
                <w:sz w:val="18"/>
                <w:szCs w:val="18"/>
              </w:rPr>
            </w:pPr>
            <w:r>
              <w:rPr>
                <w:sz w:val="18"/>
                <w:szCs w:val="18"/>
              </w:rPr>
              <w:t>Unvanı</w:t>
            </w:r>
          </w:p>
        </w:tc>
        <w:tc>
          <w:tcPr>
            <w:tcW w:w="158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Adres(Şehir/ Ülke)</w:t>
            </w:r>
          </w:p>
        </w:tc>
        <w:tc>
          <w:tcPr>
            <w:tcW w:w="232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Ana Ortaklık Bankanın Pay Oranı-Farklıysa Oy Oranı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Banka Risk Grubunun Pay Oranı (%)</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1</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Kalkınma Yatırım Menkul Değerler A.Ş.(*)</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2</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Arıcak A.Ş.</w:t>
            </w:r>
            <w:r>
              <w:rPr>
                <w:sz w:val="18"/>
                <w:szCs w:val="18"/>
              </w:rPr>
              <w:t>(**)</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99,71</w:t>
            </w:r>
          </w:p>
        </w:tc>
      </w:tr>
    </w:tbl>
    <w:p>
      <w:pPr>
        <w:jc w:val="both"/>
        <w:rPr>
          <w:b/>
          <w:bCs/>
          <w:snapToGrid w:val="0"/>
          <w:sz w:val="18"/>
          <w:szCs w:val="18"/>
        </w:rPr>
      </w:pPr>
    </w:p>
    <w:p>
      <w:pPr>
        <w:tabs>
          <w:tab w:val="left" w:pos="567"/>
        </w:tabs>
        <w:jc w:val="both"/>
        <w:rPr>
          <w:b/>
          <w:bCs/>
          <w:snapToGrid w:val="0"/>
          <w:sz w:val="22"/>
          <w:szCs w:val="22"/>
        </w:rPr>
      </w:pPr>
      <w:r>
        <w:rPr>
          <w:b/>
          <w:sz w:val="22"/>
          <w:szCs w:val="22"/>
        </w:rPr>
        <w:t>8.b.</w:t>
      </w:r>
      <w:r>
        <w:rPr>
          <w:b/>
          <w:sz w:val="22"/>
          <w:szCs w:val="22"/>
        </w:rPr>
        <w:tab/>
        <w:t>Yukarıdaki sıraya göre bağlı ortaklıklara ilişkin finansal tablo bilgileri:</w:t>
      </w:r>
    </w:p>
    <w:p>
      <w:pPr>
        <w:jc w:val="both"/>
        <w:rPr>
          <w:b/>
          <w:bCs/>
          <w:snapToGrid w:val="0"/>
          <w:sz w:val="12"/>
          <w:szCs w:val="12"/>
        </w:rPr>
      </w:pPr>
    </w:p>
    <w:tbl>
      <w:tblPr>
        <w:tblW w:w="9243" w:type="dxa"/>
        <w:tblInd w:w="637" w:type="dxa"/>
        <w:tblLayout w:type="fixed"/>
        <w:tblCellMar>
          <w:left w:w="70" w:type="dxa"/>
          <w:right w:w="70" w:type="dxa"/>
        </w:tblCellMar>
        <w:tblLook w:val="00A0"/>
      </w:tblPr>
      <w:tblGrid>
        <w:gridCol w:w="228"/>
        <w:gridCol w:w="1134"/>
        <w:gridCol w:w="1134"/>
        <w:gridCol w:w="1134"/>
        <w:gridCol w:w="1134"/>
        <w:gridCol w:w="1134"/>
        <w:gridCol w:w="1134"/>
        <w:gridCol w:w="1134"/>
        <w:gridCol w:w="1077"/>
      </w:tblGrid>
      <w:tr>
        <w:trPr>
          <w:trHeight w:val="283"/>
        </w:trPr>
        <w:tc>
          <w:tcPr>
            <w:tcW w:w="228" w:type="dxa"/>
            <w:tcBorders>
              <w:top w:val="single" w:sz="4" w:space="0" w:color="auto"/>
              <w:left w:val="single" w:sz="4" w:space="0" w:color="auto"/>
              <w:bottom w:val="single" w:sz="4" w:space="0" w:color="auto"/>
              <w:right w:val="nil"/>
            </w:tcBorders>
            <w:vAlign w:val="bottom"/>
          </w:tcPr>
          <w:p>
            <w:pPr>
              <w:rPr>
                <w:sz w:val="18"/>
                <w:szCs w:val="18"/>
              </w:rPr>
            </w:pPr>
          </w:p>
          <w:p>
            <w:pP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Aktif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Özkaynak</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Sabit Varlık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Menkul Değer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Gerçeğe Uygun Değeri</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1</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6.155</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5.630</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245</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121</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(72)</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193</w:t>
            </w:r>
            <w:r>
              <w:rPr>
                <w:sz w:val="18"/>
                <w:szCs w:val="18"/>
              </w:rPr>
              <w:t>)</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2</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ind w:left="540" w:hanging="540"/>
        <w:jc w:val="both"/>
        <w:rPr>
          <w:i/>
          <w:iCs/>
          <w:noProof/>
          <w:sz w:val="12"/>
          <w:szCs w:val="12"/>
        </w:rPr>
      </w:pPr>
    </w:p>
    <w:p>
      <w:pPr>
        <w:tabs>
          <w:tab w:val="left" w:pos="993"/>
        </w:tabs>
        <w:ind w:left="990" w:hanging="423"/>
        <w:jc w:val="both"/>
        <w:rPr>
          <w:iCs/>
          <w:noProof/>
          <w:sz w:val="18"/>
          <w:szCs w:val="18"/>
        </w:rPr>
      </w:pPr>
      <w:r>
        <w:rPr>
          <w:iCs/>
          <w:noProof/>
          <w:sz w:val="18"/>
          <w:szCs w:val="18"/>
        </w:rPr>
        <w:t>(*)</w:t>
      </w:r>
      <w:r>
        <w:rPr>
          <w:iCs/>
          <w:noProof/>
          <w:sz w:val="18"/>
          <w:szCs w:val="18"/>
        </w:rPr>
        <w:tab/>
      </w:r>
      <w:r>
        <w:rPr>
          <w:iCs/>
          <w:noProof/>
          <w:sz w:val="18"/>
          <w:szCs w:val="18"/>
        </w:rPr>
        <w:t xml:space="preserve">Banka Yönetim Kurulunun 28 Aralık </w:t>
      </w:r>
      <w:r>
        <w:rPr>
          <w:iCs/>
          <w:noProof/>
          <w:sz w:val="18"/>
          <w:szCs w:val="18"/>
        </w:rPr>
        <w:t>2009 tarih ve 2009-19-10/218 sayılı kararıyla, şirketin faaliyetlerinin geçici olarak durdurulmasının şirket yönetim kuruluna tavsiye edilmesine karar verilmiştir. Şirket Yönetim Kurulu ise 31 Aralık 2009 tarihinden itibaren faaliyetlerin altı ay süre ile geçici olarak durdurulması için Sermaye Piyasası Kurulu’na 13 Ekim 2009 tarihinde başvuru yapmış olup Sermaye Piyasası Kurulu ise şirket faaliyetlerinin 31 Aralık 2009 tarihinden itibaren 12 ay süreyle geçici olarak durdurulmasına onay vermiştir.</w:t>
      </w:r>
      <w:r>
        <w:rPr>
          <w:iCs/>
          <w:noProof/>
          <w:sz w:val="18"/>
          <w:szCs w:val="18"/>
        </w:rPr>
        <w:t xml:space="preserve"> Kalkınma Yatırım Menkul Değerler A.Ş.</w:t>
      </w:r>
      <w:r>
        <w:rPr>
          <w:iCs/>
          <w:noProof/>
          <w:sz w:val="18"/>
          <w:szCs w:val="18"/>
        </w:rPr>
        <w:t>’</w:t>
      </w:r>
      <w:r>
        <w:rPr>
          <w:iCs/>
          <w:noProof/>
          <w:sz w:val="18"/>
          <w:szCs w:val="18"/>
        </w:rPr>
        <w:t xml:space="preserve">nin verileri 31 </w:t>
      </w:r>
      <w:r>
        <w:rPr>
          <w:iCs/>
          <w:noProof/>
          <w:sz w:val="18"/>
          <w:szCs w:val="18"/>
        </w:rPr>
        <w:t>Mart</w:t>
      </w:r>
      <w:r>
        <w:rPr>
          <w:iCs/>
          <w:noProof/>
          <w:sz w:val="18"/>
          <w:szCs w:val="18"/>
        </w:rPr>
        <w:t xml:space="preserve"> 201</w:t>
      </w:r>
      <w:r>
        <w:rPr>
          <w:iCs/>
          <w:noProof/>
          <w:sz w:val="18"/>
          <w:szCs w:val="18"/>
        </w:rPr>
        <w:t>1</w:t>
      </w:r>
      <w:r>
        <w:rPr>
          <w:iCs/>
          <w:noProof/>
          <w:sz w:val="18"/>
          <w:szCs w:val="18"/>
        </w:rPr>
        <w:t xml:space="preserve"> tarihli</w:t>
      </w:r>
      <w:r>
        <w:rPr>
          <w:iCs/>
          <w:noProof/>
          <w:sz w:val="18"/>
          <w:szCs w:val="18"/>
        </w:rPr>
        <w:t xml:space="preserve"> denetlenmemiş </w:t>
      </w:r>
      <w:r>
        <w:rPr>
          <w:iCs/>
          <w:noProof/>
          <w:sz w:val="18"/>
          <w:szCs w:val="18"/>
        </w:rPr>
        <w:t>finansal tablolarından alınmıştır. Söz konusu ortaklığa ilişkin önceki dönem kar/zarar tutarları firma</w:t>
      </w:r>
      <w:r>
        <w:rPr>
          <w:iCs/>
          <w:noProof/>
          <w:sz w:val="18"/>
          <w:szCs w:val="18"/>
        </w:rPr>
        <w:t>n</w:t>
      </w:r>
      <w:r>
        <w:rPr>
          <w:iCs/>
          <w:noProof/>
          <w:sz w:val="18"/>
          <w:szCs w:val="18"/>
        </w:rPr>
        <w:t>ın 31 Mart</w:t>
      </w:r>
      <w:r>
        <w:rPr>
          <w:iCs/>
          <w:noProof/>
          <w:sz w:val="18"/>
          <w:szCs w:val="18"/>
        </w:rPr>
        <w:t xml:space="preserve"> 20</w:t>
      </w:r>
      <w:r>
        <w:rPr>
          <w:iCs/>
          <w:noProof/>
          <w:sz w:val="18"/>
          <w:szCs w:val="18"/>
        </w:rPr>
        <w:t>1</w:t>
      </w:r>
      <w:r>
        <w:rPr>
          <w:iCs/>
          <w:noProof/>
          <w:sz w:val="18"/>
          <w:szCs w:val="18"/>
        </w:rPr>
        <w:t>0</w:t>
      </w:r>
      <w:r>
        <w:rPr>
          <w:iCs/>
          <w:noProof/>
          <w:sz w:val="18"/>
          <w:szCs w:val="18"/>
        </w:rPr>
        <w:t xml:space="preserve"> tarihli denetimden geçmiş finansal tablolarından alınmıştır.</w:t>
      </w:r>
    </w:p>
    <w:p>
      <w:pPr>
        <w:tabs>
          <w:tab w:val="left" w:pos="993"/>
        </w:tabs>
        <w:ind w:left="990" w:hanging="423"/>
        <w:jc w:val="both"/>
        <w:rPr>
          <w:sz w:val="18"/>
          <w:szCs w:val="18"/>
        </w:rPr>
      </w:pPr>
      <w:r>
        <w:rPr>
          <w:sz w:val="18"/>
          <w:szCs w:val="18"/>
        </w:rPr>
        <w:t>(**)</w:t>
      </w:r>
      <w:r>
        <w:rPr>
          <w:sz w:val="18"/>
          <w:szCs w:val="18"/>
        </w:rPr>
        <w:tab/>
        <w:t xml:space="preserve">31 Aralık 2010 tarihi itibarıyla bağlı ortaklıklar hesabında </w:t>
      </w:r>
      <w:r>
        <w:rPr>
          <w:sz w:val="18"/>
          <w:szCs w:val="18"/>
        </w:rPr>
        <w:t>izlenen Arıcak A.Ş.’deki Banka o</w:t>
      </w:r>
      <w:r>
        <w:rPr>
          <w:sz w:val="18"/>
          <w:szCs w:val="18"/>
        </w:rPr>
        <w:t xml:space="preserve">rtaklık payı  31 Mart 2011 itibariyle “V.Grup Zarar Niteliğindeki Krediler” hesap grubuna  aktarılmıştır. </w:t>
      </w:r>
    </w:p>
    <w:p>
      <w:pPr>
        <w:tabs>
          <w:tab w:val="left" w:pos="567"/>
          <w:tab w:val="left" w:pos="993"/>
        </w:tabs>
        <w:ind w:left="990" w:hanging="990"/>
        <w:jc w:val="both"/>
        <w:rPr>
          <w:iCs/>
          <w:noProof/>
          <w:sz w:val="18"/>
          <w:szCs w:val="18"/>
        </w:rPr>
      </w:pPr>
      <w:r>
        <w:rPr>
          <w:iCs/>
          <w:noProof/>
          <w:sz w:val="18"/>
          <w:szCs w:val="18"/>
        </w:rPr>
        <w:br w:type="page"/>
      </w:r>
    </w:p>
    <w:p>
      <w:pPr>
        <w:tabs>
          <w:tab w:val="left" w:pos="720"/>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t>Bilançonun aktif hesaplarına ilişkin açıklama ve dipnotlar (devam ediyor):</w:t>
      </w:r>
    </w:p>
    <w:p>
      <w:pPr>
        <w:tabs>
          <w:tab w:val="left" w:pos="567"/>
          <w:tab w:val="left" w:pos="993"/>
        </w:tabs>
        <w:ind w:left="990" w:hanging="990"/>
        <w:jc w:val="both"/>
        <w:rPr>
          <w:iCs/>
          <w:noProof/>
          <w:sz w:val="18"/>
          <w:szCs w:val="18"/>
        </w:rPr>
      </w:pPr>
    </w:p>
    <w:p>
      <w:pPr>
        <w:tabs>
          <w:tab w:val="left" w:pos="567"/>
        </w:tabs>
        <w:jc w:val="both"/>
        <w:rPr>
          <w:b/>
          <w:bCs/>
          <w:iCs/>
          <w:sz w:val="22"/>
          <w:szCs w:val="22"/>
        </w:rPr>
      </w:pPr>
      <w:r>
        <w:rPr>
          <w:b/>
          <w:bCs/>
          <w:snapToGrid w:val="0"/>
          <w:sz w:val="22"/>
          <w:szCs w:val="22"/>
        </w:rPr>
        <w:t>8.c.</w:t>
      </w:r>
      <w:r>
        <w:rPr>
          <w:b/>
          <w:bCs/>
          <w:snapToGrid w:val="0"/>
          <w:sz w:val="22"/>
          <w:szCs w:val="22"/>
        </w:rPr>
        <w:tab/>
      </w:r>
      <w:r>
        <w:rPr>
          <w:b/>
          <w:bCs/>
          <w:snapToGrid w:val="0"/>
          <w:sz w:val="22"/>
          <w:szCs w:val="22"/>
        </w:rPr>
        <w:fldChar w:fldCharType="begin"/>
      </w:r>
      <w:r>
        <w:rPr>
          <w:b/>
          <w:bCs/>
          <w:snapToGrid w:val="0"/>
          <w:sz w:val="22"/>
          <w:szCs w:val="22"/>
        </w:rPr>
        <w:instrText xml:space="preserve"> LINK Excel.Sheet.8 "D:\\Users\\f-ozer\\Desktop\\31.03.2011 çalışma dosyası\\Konsolide Olmayan Mali ve Dipnot Tabloları-Mart dönemi.xls" "aktif5!R1C1:R1C2" \a \f 4 \h  \* MERGEFORMAT </w:instrText>
      </w:r>
      <w:r>
        <w:rPr>
          <w:b/>
          <w:bCs/>
          <w:snapToGrid w:val="0"/>
          <w:sz w:val="22"/>
          <w:szCs w:val="22"/>
        </w:rPr>
        <w:fldChar w:fldCharType="separate"/>
      </w:r>
      <w:r>
        <w:rPr>
          <w:b/>
          <w:bCs/>
          <w:iCs/>
          <w:sz w:val="22"/>
          <w:szCs w:val="22"/>
        </w:rPr>
        <w:t>Bağlı ortaklıklara ilişkin bilgiler: (3 Aylık)</w:t>
      </w:r>
    </w:p>
    <w:p>
      <w:pPr>
        <w:jc w:val="both"/>
        <w:rPr>
          <w:b/>
          <w:bCs/>
          <w:snapToGrid w:val="0"/>
          <w:sz w:val="22"/>
          <w:szCs w:val="22"/>
        </w:rPr>
      </w:pPr>
      <w:r>
        <w:rPr>
          <w:b/>
          <w:bCs/>
          <w:snapToGrid w:val="0"/>
          <w:sz w:val="22"/>
          <w:szCs w:val="22"/>
        </w:rPr>
        <w:fldChar w:fldCharType="end"/>
      </w: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30.06</w:t>
            </w:r>
            <w:r>
              <w:rPr>
                <w:b/>
                <w:sz w:val="18"/>
                <w:szCs w:val="18"/>
              </w:rPr>
              <w:t>.2011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7.192</w:t>
            </w:r>
          </w:p>
        </w:tc>
        <w:tc>
          <w:tcPr>
            <w:tcW w:w="1984" w:type="dxa"/>
            <w:shd w:val="clear" w:color="auto" w:fill="auto"/>
            <w:noWrap/>
            <w:vAlign w:val="bottom"/>
            <w:hideMark/>
          </w:tcPr>
          <w:p>
            <w:pPr>
              <w:jc w:val="right"/>
              <w:rPr>
                <w:sz w:val="18"/>
                <w:szCs w:val="18"/>
              </w:rPr>
            </w:pPr>
            <w:r>
              <w:rPr>
                <w:sz w:val="18"/>
                <w:szCs w:val="18"/>
              </w:rPr>
              <w:t>11.402</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w:t>
            </w:r>
            <w:r>
              <w:rPr>
                <w:sz w:val="18"/>
                <w:szCs w:val="18"/>
              </w:rPr>
              <w:t>822</w:t>
            </w:r>
            <w:r>
              <w:rPr>
                <w:sz w:val="18"/>
                <w:szCs w:val="18"/>
              </w:rPr>
              <w:t>)</w:t>
            </w:r>
          </w:p>
        </w:tc>
        <w:tc>
          <w:tcPr>
            <w:tcW w:w="1984" w:type="dxa"/>
            <w:shd w:val="clear" w:color="auto" w:fill="auto"/>
            <w:noWrap/>
            <w:vAlign w:val="bottom"/>
            <w:hideMark/>
          </w:tcPr>
          <w:p>
            <w:pPr>
              <w:jc w:val="right"/>
              <w:rPr>
                <w:sz w:val="18"/>
                <w:szCs w:val="18"/>
              </w:rPr>
            </w:pPr>
            <w:r>
              <w:rPr>
                <w:sz w:val="18"/>
                <w:szCs w:val="18"/>
              </w:rPr>
              <w:t>(</w:t>
            </w:r>
            <w:r>
              <w:rPr>
                <w:sz w:val="18"/>
                <w:szCs w:val="18"/>
              </w:rPr>
              <w:t>4.210</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Alışlar</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 (*)</w:t>
            </w:r>
          </w:p>
        </w:tc>
        <w:tc>
          <w:tcPr>
            <w:tcW w:w="1984" w:type="dxa"/>
            <w:shd w:val="clear" w:color="auto" w:fill="auto"/>
            <w:noWrap/>
            <w:vAlign w:val="bottom"/>
            <w:hideMark/>
          </w:tcPr>
          <w:p>
            <w:pPr>
              <w:jc w:val="right"/>
              <w:rPr>
                <w:sz w:val="18"/>
                <w:szCs w:val="18"/>
              </w:rPr>
            </w:pPr>
            <w:r>
              <w:rPr>
                <w:sz w:val="18"/>
                <w:szCs w:val="18"/>
              </w:rPr>
              <w:t>(</w:t>
            </w:r>
            <w:r>
              <w:rPr>
                <w:sz w:val="18"/>
                <w:szCs w:val="18"/>
              </w:rPr>
              <w:t>750</w:t>
            </w:r>
            <w:r>
              <w:rPr>
                <w:sz w:val="18"/>
                <w:szCs w:val="18"/>
              </w:rPr>
              <w:t>)</w:t>
            </w:r>
          </w:p>
        </w:tc>
        <w:tc>
          <w:tcPr>
            <w:tcW w:w="1984" w:type="dxa"/>
            <w:shd w:val="clear" w:color="auto" w:fill="auto"/>
            <w:noWrap/>
            <w:vAlign w:val="bottom"/>
            <w:hideMark/>
          </w:tcPr>
          <w:p>
            <w:pPr>
              <w:jc w:val="right"/>
              <w:rPr>
                <w:sz w:val="18"/>
                <w:szCs w:val="18"/>
              </w:rPr>
            </w:pPr>
            <w:r>
              <w:rPr>
                <w:sz w:val="18"/>
                <w:szCs w:val="18"/>
              </w:rPr>
              <w:t>(</w:t>
            </w:r>
            <w:r>
              <w:rPr>
                <w:sz w:val="18"/>
                <w:szCs w:val="18"/>
              </w:rPr>
              <w:t>3.470</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6"/>
                <w:szCs w:val="16"/>
              </w:rPr>
            </w:pPr>
            <w:r>
              <w:rPr>
                <w:sz w:val="16"/>
                <w:szCs w:val="16"/>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w:t>
            </w:r>
            <w:r>
              <w:rPr>
                <w:sz w:val="18"/>
                <w:szCs w:val="18"/>
              </w:rPr>
              <w:t>72</w:t>
            </w:r>
            <w:r>
              <w:rPr>
                <w:sz w:val="18"/>
                <w:szCs w:val="18"/>
              </w:rPr>
              <w:t>)</w:t>
            </w:r>
          </w:p>
        </w:tc>
        <w:tc>
          <w:tcPr>
            <w:tcW w:w="1984" w:type="dxa"/>
            <w:shd w:val="clear" w:color="auto" w:fill="auto"/>
            <w:noWrap/>
            <w:vAlign w:val="bottom"/>
            <w:hideMark/>
          </w:tcPr>
          <w:p>
            <w:pPr>
              <w:jc w:val="right"/>
              <w:rPr>
                <w:sz w:val="18"/>
                <w:szCs w:val="18"/>
              </w:rPr>
            </w:pPr>
            <w:r>
              <w:rPr>
                <w:sz w:val="18"/>
                <w:szCs w:val="18"/>
              </w:rPr>
              <w:t>(</w:t>
            </w:r>
            <w:r>
              <w:rPr>
                <w:sz w:val="18"/>
                <w:szCs w:val="18"/>
              </w:rPr>
              <w:t>740</w:t>
            </w:r>
            <w:r>
              <w:rPr>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6.370</w:t>
            </w:r>
          </w:p>
        </w:tc>
        <w:tc>
          <w:tcPr>
            <w:tcW w:w="1984" w:type="dxa"/>
            <w:shd w:val="clear" w:color="auto" w:fill="auto"/>
            <w:noWrap/>
            <w:vAlign w:val="bottom"/>
            <w:hideMark/>
          </w:tcPr>
          <w:p>
            <w:pPr>
              <w:jc w:val="right"/>
              <w:rPr>
                <w:sz w:val="18"/>
                <w:szCs w:val="18"/>
              </w:rPr>
            </w:pPr>
            <w:r>
              <w:rPr>
                <w:sz w:val="18"/>
                <w:szCs w:val="18"/>
              </w:rPr>
              <w:t>7.192</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rPr>
                <w:sz w:val="18"/>
                <w:szCs w:val="18"/>
              </w:rPr>
            </w:pPr>
            <w:r>
              <w:rPr>
                <w:sz w:val="18"/>
                <w:szCs w:val="18"/>
              </w:rPr>
              <w:t>Dönem Sonu Sermaye Katılma Payı(%)</w:t>
            </w:r>
          </w:p>
        </w:tc>
        <w:tc>
          <w:tcPr>
            <w:tcW w:w="1984" w:type="dxa"/>
            <w:shd w:val="clear" w:color="auto" w:fill="auto"/>
            <w:noWrap/>
            <w:vAlign w:val="bottom"/>
            <w:hideMark/>
          </w:tcPr>
          <w:p>
            <w:pPr>
              <w:jc w:val="right"/>
              <w:rPr>
                <w:sz w:val="18"/>
                <w:szCs w:val="18"/>
              </w:rPr>
            </w:pP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bl>
    <w:p>
      <w:pPr>
        <w:tabs>
          <w:tab w:val="left" w:pos="993"/>
        </w:tabs>
        <w:ind w:left="990" w:hanging="423"/>
        <w:jc w:val="both"/>
        <w:rPr>
          <w:sz w:val="18"/>
          <w:szCs w:val="18"/>
        </w:rPr>
      </w:pPr>
    </w:p>
    <w:p>
      <w:pPr>
        <w:tabs>
          <w:tab w:val="left" w:pos="993"/>
        </w:tabs>
        <w:ind w:left="990" w:hanging="423"/>
        <w:jc w:val="both"/>
        <w:rPr>
          <w:sz w:val="18"/>
          <w:szCs w:val="18"/>
        </w:rPr>
      </w:pPr>
      <w:r>
        <w:rPr>
          <w:sz w:val="18"/>
          <w:szCs w:val="18"/>
        </w:rPr>
        <w:t>(*)</w:t>
      </w:r>
      <w:r>
        <w:rPr>
          <w:sz w:val="18"/>
          <w:szCs w:val="18"/>
        </w:rPr>
        <w:tab/>
        <w:t xml:space="preserve">31 Aralık 2010 tarihi itibarıyla bağlı ortaklıklar hesabında </w:t>
      </w:r>
      <w:r>
        <w:rPr>
          <w:sz w:val="18"/>
          <w:szCs w:val="18"/>
        </w:rPr>
        <w:t>izlenen Arıcak A.Ş.’deki Banka o</w:t>
      </w:r>
      <w:r>
        <w:rPr>
          <w:sz w:val="18"/>
          <w:szCs w:val="18"/>
        </w:rPr>
        <w:t xml:space="preserve">rtaklık payı  31 Mart 2011 itibariyle “V.Grup Zarar Niteliğindeki Krediler” hesap grubuna  aktarılmıştır. </w:t>
      </w:r>
    </w:p>
    <w:p>
      <w:pPr>
        <w:tabs>
          <w:tab w:val="left" w:pos="567"/>
        </w:tabs>
        <w:rPr>
          <w:b/>
          <w:bCs/>
          <w:sz w:val="22"/>
          <w:szCs w:val="22"/>
        </w:rPr>
      </w:pPr>
    </w:p>
    <w:p>
      <w:pPr>
        <w:tabs>
          <w:tab w:val="left" w:pos="567"/>
        </w:tabs>
        <w:rPr>
          <w:b/>
          <w:bCs/>
          <w:sz w:val="22"/>
          <w:szCs w:val="22"/>
        </w:rPr>
      </w:pPr>
      <w:r>
        <w:rPr>
          <w:b/>
          <w:bCs/>
          <w:sz w:val="22"/>
          <w:szCs w:val="22"/>
        </w:rPr>
        <w:t>8.</w:t>
      </w:r>
      <w:r>
        <w:rPr>
          <w:b/>
          <w:bCs/>
          <w:sz w:val="22"/>
          <w:szCs w:val="22"/>
        </w:rPr>
        <w:t>ç.</w:t>
      </w:r>
      <w:r>
        <w:rPr>
          <w:b/>
          <w:bCs/>
          <w:sz w:val="22"/>
          <w:szCs w:val="22"/>
        </w:rPr>
        <w:tab/>
      </w:r>
      <w:r>
        <w:rPr>
          <w:b/>
          <w:bCs/>
          <w:sz w:val="22"/>
          <w:szCs w:val="22"/>
        </w:rPr>
        <w:t xml:space="preserve">Bağlı ortaklıklara ilişkin sektör bilgileri ve bunlara ilişkin kayıtlı tutarlar: </w:t>
      </w:r>
    </w:p>
    <w:p>
      <w:pPr>
        <w:rPr>
          <w:sz w:val="22"/>
          <w:szCs w:val="22"/>
          <w:lang w:eastAsia="en-US"/>
        </w:rPr>
      </w:pPr>
    </w:p>
    <w:tbl>
      <w:tblPr>
        <w:tblW w:w="921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45"/>
        <w:gridCol w:w="1984"/>
        <w:gridCol w:w="1984"/>
      </w:tblGrid>
      <w:tr>
        <w:trPr>
          <w:trHeight w:val="255"/>
        </w:trPr>
        <w:tc>
          <w:tcPr>
            <w:tcW w:w="5245" w:type="dxa"/>
            <w:shd w:val="clear" w:color="000000" w:fill="FFFFFF"/>
            <w:vAlign w:val="bottom"/>
            <w:hideMark/>
          </w:tcPr>
          <w:p>
            <w:pPr>
              <w:rPr>
                <w:rFonts w:ascii="Arial" w:hAnsi="Arial" w:cs="Arial"/>
                <w:sz w:val="18"/>
                <w:szCs w:val="18"/>
              </w:rPr>
            </w:pPr>
            <w:r>
              <w:rPr>
                <w:rFonts w:ascii="Arial" w:hAnsi="Arial" w:cs="Arial"/>
                <w:sz w:val="18"/>
                <w:szCs w:val="18"/>
              </w:rPr>
              <w:t> </w:t>
            </w:r>
          </w:p>
        </w:tc>
        <w:tc>
          <w:tcPr>
            <w:tcW w:w="1984" w:type="dxa"/>
            <w:shd w:val="clear" w:color="000000" w:fill="FFFFFF"/>
            <w:vAlign w:val="bottom"/>
            <w:hideMark/>
          </w:tcPr>
          <w:p>
            <w:pPr>
              <w:jc w:val="center"/>
              <w:rPr>
                <w:b/>
                <w:sz w:val="18"/>
                <w:szCs w:val="18"/>
              </w:rPr>
            </w:pPr>
            <w:r>
              <w:rPr>
                <w:b/>
                <w:sz w:val="18"/>
                <w:szCs w:val="18"/>
              </w:rPr>
              <w:t>Cari Dönem</w:t>
            </w:r>
          </w:p>
          <w:p>
            <w:pPr>
              <w:jc w:val="center"/>
              <w:rPr>
                <w:sz w:val="18"/>
                <w:szCs w:val="18"/>
              </w:rPr>
            </w:pPr>
            <w:r>
              <w:rPr>
                <w:b/>
                <w:sz w:val="18"/>
                <w:szCs w:val="18"/>
              </w:rPr>
              <w:t>(</w:t>
            </w:r>
            <w:r>
              <w:rPr>
                <w:b/>
                <w:sz w:val="18"/>
                <w:szCs w:val="18"/>
              </w:rPr>
              <w:t>30.06</w:t>
            </w:r>
            <w:r>
              <w:rPr>
                <w:b/>
                <w:sz w:val="18"/>
                <w:szCs w:val="18"/>
              </w:rPr>
              <w:t>.2011</w:t>
            </w:r>
            <w:r>
              <w:rPr>
                <w:b/>
                <w:sz w:val="18"/>
                <w:szCs w:val="18"/>
              </w:rPr>
              <w:t>)</w:t>
            </w:r>
          </w:p>
        </w:tc>
        <w:tc>
          <w:tcPr>
            <w:tcW w:w="1984" w:type="dxa"/>
            <w:shd w:val="clear" w:color="000000" w:fill="FFFFFF"/>
            <w:vAlign w:val="bottom"/>
            <w:hideMark/>
          </w:tcPr>
          <w:p>
            <w:pPr>
              <w:jc w:val="center"/>
              <w:rPr>
                <w:b/>
                <w:sz w:val="18"/>
                <w:szCs w:val="18"/>
              </w:rPr>
            </w:pPr>
            <w:r>
              <w:rPr>
                <w:b/>
                <w:sz w:val="18"/>
                <w:szCs w:val="18"/>
              </w:rPr>
              <w:t>Ö</w:t>
            </w:r>
            <w:r>
              <w:rPr>
                <w:b/>
                <w:sz w:val="18"/>
                <w:szCs w:val="18"/>
              </w:rPr>
              <w:t>nceki Dönem</w:t>
            </w:r>
          </w:p>
          <w:p>
            <w:pPr>
              <w:jc w:val="center"/>
              <w:rPr>
                <w:sz w:val="18"/>
                <w:szCs w:val="18"/>
              </w:rPr>
            </w:pPr>
            <w:r>
              <w:rPr>
                <w:b/>
                <w:sz w:val="18"/>
                <w:szCs w:val="18"/>
              </w:rPr>
              <w:t>(31.12.20</w:t>
            </w:r>
            <w:r>
              <w:rPr>
                <w:b/>
                <w:sz w:val="18"/>
                <w:szCs w:val="18"/>
              </w:rPr>
              <w:t>10</w:t>
            </w: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 xml:space="preserve">Bankalar </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 </w:t>
            </w:r>
          </w:p>
        </w:tc>
      </w:tr>
      <w:tr>
        <w:trPr>
          <w:trHeight w:val="255"/>
        </w:trPr>
        <w:tc>
          <w:tcPr>
            <w:tcW w:w="5245" w:type="dxa"/>
            <w:shd w:val="clear" w:color="000000" w:fill="FFFFFF"/>
            <w:noWrap/>
            <w:vAlign w:val="bottom"/>
            <w:hideMark/>
          </w:tcPr>
          <w:p>
            <w:pPr>
              <w:rPr>
                <w:sz w:val="18"/>
                <w:szCs w:val="18"/>
              </w:rPr>
            </w:pPr>
            <w:r>
              <w:rPr>
                <w:sz w:val="18"/>
                <w:szCs w:val="18"/>
              </w:rPr>
              <w:t>Sigorta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Faktoring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Leasing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Finansman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Diğer Mali Bağlı Ortaklıklar</w:t>
            </w:r>
          </w:p>
        </w:tc>
        <w:tc>
          <w:tcPr>
            <w:tcW w:w="1984" w:type="dxa"/>
            <w:shd w:val="clear" w:color="auto" w:fill="auto"/>
            <w:noWrap/>
            <w:vAlign w:val="bottom"/>
            <w:hideMark/>
          </w:tcPr>
          <w:p>
            <w:pPr>
              <w:jc w:val="right"/>
              <w:rPr>
                <w:sz w:val="18"/>
                <w:szCs w:val="18"/>
              </w:rPr>
            </w:pPr>
            <w:r>
              <w:rPr>
                <w:sz w:val="18"/>
                <w:szCs w:val="18"/>
              </w:rPr>
              <w:t>6.370</w:t>
            </w:r>
          </w:p>
        </w:tc>
        <w:tc>
          <w:tcPr>
            <w:tcW w:w="1984" w:type="dxa"/>
            <w:shd w:val="clear" w:color="auto" w:fill="auto"/>
            <w:noWrap/>
            <w:vAlign w:val="bottom"/>
            <w:hideMark/>
          </w:tcPr>
          <w:p>
            <w:pPr>
              <w:jc w:val="right"/>
              <w:rPr>
                <w:sz w:val="18"/>
                <w:szCs w:val="18"/>
              </w:rPr>
            </w:pPr>
            <w:r>
              <w:rPr>
                <w:sz w:val="18"/>
                <w:szCs w:val="18"/>
              </w:rPr>
              <w:t>6.442</w:t>
            </w:r>
          </w:p>
        </w:tc>
      </w:tr>
    </w:tbl>
    <w:p>
      <w:pPr>
        <w:ind w:firstLine="709"/>
        <w:rPr>
          <w:sz w:val="22"/>
          <w:szCs w:val="22"/>
          <w:lang w:eastAsia="en-US"/>
        </w:rPr>
      </w:pPr>
    </w:p>
    <w:p>
      <w:pPr>
        <w:tabs>
          <w:tab w:val="left" w:pos="567"/>
        </w:tabs>
        <w:rPr>
          <w:b/>
          <w:bCs/>
          <w:sz w:val="22"/>
          <w:szCs w:val="22"/>
        </w:rPr>
      </w:pPr>
      <w:r>
        <w:rPr>
          <w:b/>
          <w:bCs/>
          <w:sz w:val="22"/>
          <w:szCs w:val="22"/>
        </w:rPr>
        <w:t>8.</w:t>
      </w:r>
      <w:r>
        <w:rPr>
          <w:b/>
          <w:bCs/>
          <w:sz w:val="22"/>
          <w:szCs w:val="22"/>
        </w:rPr>
        <w:t>d</w:t>
      </w:r>
      <w:r>
        <w:rPr>
          <w:b/>
          <w:bCs/>
          <w:sz w:val="22"/>
          <w:szCs w:val="22"/>
        </w:rPr>
        <w:tab/>
      </w:r>
      <w:r>
        <w:rPr>
          <w:b/>
          <w:bCs/>
          <w:sz w:val="22"/>
          <w:szCs w:val="22"/>
        </w:rPr>
        <w:t>Borsaya kote edilen bağlı ortaklıklar:</w:t>
      </w:r>
    </w:p>
    <w:p>
      <w:pPr>
        <w:rPr>
          <w:b/>
          <w:bCs/>
          <w:sz w:val="22"/>
          <w:szCs w:val="22"/>
        </w:rPr>
      </w:pPr>
    </w:p>
    <w:p>
      <w:pPr>
        <w:tabs>
          <w:tab w:val="left" w:pos="567"/>
        </w:tabs>
        <w:ind w:firstLine="567"/>
        <w:rPr>
          <w:sz w:val="22"/>
          <w:szCs w:val="22"/>
        </w:rPr>
      </w:pPr>
      <w:r>
        <w:rPr>
          <w:sz w:val="22"/>
          <w:szCs w:val="22"/>
        </w:rPr>
        <w:t>Bulunmamaktadır.</w:t>
      </w:r>
    </w:p>
    <w:p>
      <w:pPr>
        <w:ind w:firstLine="720"/>
        <w:rPr>
          <w:sz w:val="22"/>
          <w:szCs w:val="22"/>
        </w:rPr>
      </w:pPr>
    </w:p>
    <w:p>
      <w:pPr>
        <w:pStyle w:val="BodyTextIndent"/>
        <w:tabs>
          <w:tab w:val="left" w:pos="567"/>
        </w:tabs>
        <w:ind w:firstLine="0"/>
        <w:rPr>
          <w:b/>
          <w:bCs/>
          <w:sz w:val="22"/>
          <w:szCs w:val="22"/>
        </w:rPr>
      </w:pPr>
      <w:r>
        <w:rPr>
          <w:b/>
          <w:bCs/>
          <w:sz w:val="22"/>
          <w:szCs w:val="22"/>
        </w:rPr>
        <w:t>9.</w:t>
      </w:r>
      <w:r>
        <w:rPr>
          <w:b/>
          <w:bCs/>
          <w:sz w:val="22"/>
          <w:szCs w:val="22"/>
        </w:rPr>
        <w:tab/>
      </w:r>
      <w:r>
        <w:rPr>
          <w:b/>
          <w:bCs/>
          <w:sz w:val="22"/>
          <w:szCs w:val="22"/>
        </w:rPr>
        <w:t>Birlikte kontrol edilen ortaklıklara (</w:t>
      </w:r>
      <w:r>
        <w:rPr>
          <w:b/>
          <w:bCs/>
          <w:sz w:val="22"/>
          <w:szCs w:val="22"/>
        </w:rPr>
        <w:t>i</w:t>
      </w:r>
      <w:r>
        <w:rPr>
          <w:b/>
          <w:bCs/>
          <w:sz w:val="22"/>
          <w:szCs w:val="22"/>
        </w:rPr>
        <w:t xml:space="preserve">ş </w:t>
      </w:r>
      <w:r>
        <w:rPr>
          <w:b/>
          <w:bCs/>
          <w:sz w:val="22"/>
          <w:szCs w:val="22"/>
        </w:rPr>
        <w:t>o</w:t>
      </w:r>
      <w:r>
        <w:rPr>
          <w:b/>
          <w:bCs/>
          <w:sz w:val="22"/>
          <w:szCs w:val="22"/>
        </w:rPr>
        <w:t>rtaklıkları) ilişkin bilgiler:</w:t>
      </w:r>
    </w:p>
    <w:p>
      <w:pPr>
        <w:pStyle w:val="BodyTextIndent"/>
        <w:ind w:firstLine="0"/>
        <w:rPr>
          <w:b/>
          <w:bCs/>
          <w:sz w:val="22"/>
          <w:szCs w:val="22"/>
        </w:rPr>
      </w:pPr>
    </w:p>
    <w:p>
      <w:pPr>
        <w:pStyle w:val="BodyTextIndent"/>
        <w:ind w:firstLine="567"/>
        <w:rPr>
          <w:bCs/>
          <w:sz w:val="22"/>
          <w:szCs w:val="22"/>
        </w:rPr>
      </w:pPr>
      <w:r>
        <w:rPr>
          <w:bCs/>
          <w:noProof/>
          <w:sz w:val="22"/>
          <w:szCs w:val="22"/>
        </w:rPr>
        <w:t>Ba</w:t>
      </w:r>
      <w:r>
        <w:rPr>
          <w:bCs/>
          <w:noProof/>
          <w:sz w:val="22"/>
          <w:szCs w:val="22"/>
        </w:rPr>
        <w:t>nka’nın birlikte kontrol edilen</w:t>
      </w:r>
      <w:r>
        <w:rPr>
          <w:bCs/>
          <w:noProof/>
          <w:sz w:val="22"/>
          <w:szCs w:val="22"/>
        </w:rPr>
        <w:t xml:space="preserve"> ortaklığı bulunmamaktadır. </w:t>
      </w:r>
    </w:p>
    <w:p>
      <w:pPr>
        <w:pStyle w:val="BodyTextIndent"/>
        <w:ind w:firstLine="0"/>
        <w:rPr>
          <w:bCs/>
          <w:sz w:val="22"/>
          <w:szCs w:val="22"/>
        </w:rPr>
      </w:pPr>
    </w:p>
    <w:p>
      <w:pPr>
        <w:pStyle w:val="BodyTextIndent"/>
        <w:tabs>
          <w:tab w:val="left" w:pos="567"/>
        </w:tabs>
        <w:ind w:firstLine="0"/>
        <w:rPr>
          <w:b/>
          <w:bCs/>
          <w:sz w:val="22"/>
          <w:szCs w:val="22"/>
        </w:rPr>
      </w:pPr>
      <w:r>
        <w:rPr>
          <w:b/>
          <w:bCs/>
          <w:sz w:val="22"/>
          <w:szCs w:val="22"/>
        </w:rPr>
        <w:t>10.</w:t>
      </w:r>
      <w:r>
        <w:rPr>
          <w:b/>
          <w:bCs/>
          <w:sz w:val="22"/>
          <w:szCs w:val="22"/>
        </w:rPr>
        <w:tab/>
        <w:t>Kiralama işlemlerinden alacaklara ilişkin bilgiler (Net):</w:t>
      </w:r>
    </w:p>
    <w:p>
      <w:pPr>
        <w:pStyle w:val="NormalWeb"/>
        <w:spacing w:before="0" w:beforeAutospacing="0" w:after="0" w:afterAutospacing="0"/>
        <w:ind w:left="709"/>
        <w:jc w:val="both"/>
        <w:rPr>
          <w:rFonts w:ascii="Times New Roman" w:cs="Times New Roman"/>
          <w:sz w:val="22"/>
          <w:szCs w:val="22"/>
          <w:lang w:val="tr-TR"/>
        </w:rPr>
      </w:pPr>
    </w:p>
    <w:p>
      <w:pPr>
        <w:pStyle w:val="NormalWeb"/>
        <w:spacing w:before="0" w:beforeAutospacing="0" w:after="0" w:afterAutospacing="0"/>
        <w:ind w:left="567"/>
        <w:jc w:val="both"/>
        <w:rPr>
          <w:rFonts w:ascii="Times New Roman" w:cs="Times New Roman"/>
          <w:sz w:val="22"/>
          <w:szCs w:val="22"/>
          <w:lang w:val="tr-TR"/>
        </w:rPr>
      </w:pPr>
      <w:r>
        <w:rPr>
          <w:rFonts w:ascii="Times New Roman" w:cs="Times New Roman"/>
          <w:sz w:val="22"/>
          <w:szCs w:val="22"/>
          <w:lang w:val="tr-TR"/>
        </w:rPr>
        <w:t xml:space="preserve">Banka’nın finansal kiralama işlemi bulunmamaktadır. Faaliyet kiralamasından doğan alacak tutarı ise </w:t>
      </w:r>
      <w:r>
        <w:rPr>
          <w:rFonts w:ascii="Times New Roman" w:cs="Times New Roman"/>
          <w:sz w:val="22"/>
          <w:szCs w:val="22"/>
          <w:lang w:val="tr-TR"/>
        </w:rPr>
        <w:t>98</w:t>
      </w:r>
      <w:r>
        <w:rPr>
          <w:rFonts w:ascii="Times New Roman" w:cs="Times New Roman"/>
          <w:sz w:val="22"/>
          <w:szCs w:val="22"/>
          <w:lang w:val="tr-TR"/>
        </w:rPr>
        <w:t xml:space="preserve"> Bin TL’dir (31 Aralık 20</w:t>
      </w:r>
      <w:r>
        <w:rPr>
          <w:rFonts w:ascii="Times New Roman" w:cs="Times New Roman"/>
          <w:sz w:val="22"/>
          <w:szCs w:val="22"/>
          <w:lang w:val="tr-TR"/>
        </w:rPr>
        <w:t>10</w:t>
      </w:r>
      <w:r>
        <w:rPr>
          <w:rFonts w:ascii="Times New Roman" w:cs="Times New Roman"/>
          <w:sz w:val="22"/>
          <w:szCs w:val="22"/>
          <w:lang w:val="tr-TR"/>
        </w:rPr>
        <w:t>: 2</w:t>
      </w:r>
      <w:r>
        <w:rPr>
          <w:rFonts w:ascii="Times New Roman" w:cs="Times New Roman"/>
          <w:sz w:val="22"/>
          <w:szCs w:val="22"/>
          <w:lang w:val="tr-TR"/>
        </w:rPr>
        <w:t>46</w:t>
      </w:r>
      <w:r>
        <w:rPr>
          <w:rFonts w:ascii="Times New Roman" w:cs="Times New Roman"/>
          <w:sz w:val="22"/>
          <w:szCs w:val="22"/>
          <w:lang w:val="tr-TR"/>
        </w:rPr>
        <w:t xml:space="preserve"> Bin TL).</w:t>
      </w:r>
    </w:p>
    <w:p>
      <w:pPr>
        <w:pStyle w:val="NormalWeb"/>
        <w:spacing w:before="0" w:beforeAutospacing="0" w:after="0" w:afterAutospacing="0"/>
        <w:ind w:left="709"/>
        <w:jc w:val="both"/>
        <w:rPr>
          <w:rFonts w:ascii="Times New Roman" w:cs="Times New Roman"/>
          <w:sz w:val="22"/>
          <w:szCs w:val="22"/>
          <w:lang w:val="tr-TR"/>
        </w:rPr>
      </w:pPr>
    </w:p>
    <w:p>
      <w:pPr>
        <w:pStyle w:val="BodyTextIndent"/>
        <w:numPr>
          <w:ilvl w:val="0"/>
          <w:numId w:val="13"/>
        </w:numPr>
        <w:tabs>
          <w:tab w:val="clear" w:pos="927"/>
          <w:tab w:val="num" w:pos="567"/>
        </w:tabs>
        <w:ind w:left="0" w:firstLine="0"/>
        <w:rPr>
          <w:b/>
          <w:bCs/>
          <w:sz w:val="22"/>
          <w:szCs w:val="22"/>
        </w:rPr>
      </w:pPr>
      <w:r>
        <w:rPr>
          <w:b/>
          <w:bCs/>
          <w:sz w:val="22"/>
          <w:szCs w:val="22"/>
        </w:rPr>
        <w:t xml:space="preserve">Riskten korunma amaçlı türev finansal araçlara ilişkin açıklamalar: </w:t>
      </w:r>
    </w:p>
    <w:p>
      <w:pPr>
        <w:pStyle w:val="NormalWeb"/>
        <w:spacing w:before="0" w:after="0"/>
        <w:ind w:left="567"/>
        <w:rPr>
          <w:rFonts w:ascii="Times New Roman" w:cs="Times New Roman"/>
          <w:sz w:val="22"/>
          <w:szCs w:val="22"/>
          <w:lang w:val="tr-TR"/>
        </w:rPr>
      </w:pPr>
      <w:r>
        <w:rPr>
          <w:rFonts w:ascii="Times New Roman" w:cs="Times New Roman"/>
          <w:sz w:val="22"/>
          <w:szCs w:val="22"/>
          <w:lang w:val="tr-TR"/>
        </w:rPr>
        <w:t>Banka’nın riskten korunma amaçlı türev finansal varlığı bulunmamaktadır.</w:t>
      </w:r>
    </w:p>
    <w:p>
      <w:pPr>
        <w:tabs>
          <w:tab w:val="left" w:pos="567"/>
        </w:tabs>
        <w:jc w:val="both"/>
        <w:rPr>
          <w:b/>
          <w:bCs/>
          <w:sz w:val="22"/>
          <w:szCs w:val="22"/>
        </w:rPr>
      </w:pPr>
      <w:r>
        <w:rPr>
          <w:b/>
          <w:bCs/>
          <w:sz w:val="22"/>
          <w:szCs w:val="22"/>
        </w:rPr>
        <w:t>12</w:t>
      </w:r>
      <w:r>
        <w:rPr>
          <w:b/>
          <w:bCs/>
          <w:sz w:val="22"/>
          <w:szCs w:val="22"/>
        </w:rPr>
        <w:t>.</w:t>
      </w:r>
      <w:r>
        <w:rPr>
          <w:b/>
          <w:bCs/>
          <w:sz w:val="22"/>
          <w:szCs w:val="22"/>
        </w:rPr>
        <w:tab/>
      </w:r>
      <w:r>
        <w:rPr>
          <w:b/>
          <w:bCs/>
          <w:sz w:val="22"/>
          <w:szCs w:val="22"/>
        </w:rPr>
        <w:t>Maddi duran varlıklara ilişkin açıklamalar:</w:t>
      </w:r>
    </w:p>
    <w:p>
      <w:pPr>
        <w:jc w:val="both"/>
        <w:rPr>
          <w:b/>
          <w:bCs/>
          <w:sz w:val="22"/>
          <w:szCs w:val="22"/>
        </w:rPr>
      </w:pPr>
    </w:p>
    <w:p>
      <w:pPr>
        <w:tabs>
          <w:tab w:val="left" w:pos="567"/>
        </w:tabs>
        <w:ind w:left="567" w:hanging="567"/>
        <w:jc w:val="both"/>
        <w:rPr>
          <w:bCs/>
          <w:sz w:val="22"/>
          <w:szCs w:val="22"/>
        </w:rPr>
      </w:pPr>
      <w:r>
        <w:rPr>
          <w:b/>
          <w:bCs/>
          <w:sz w:val="22"/>
          <w:szCs w:val="22"/>
        </w:rPr>
        <w:tab/>
      </w:r>
      <w:r>
        <w:rPr>
          <w:bCs/>
          <w:sz w:val="22"/>
          <w:szCs w:val="22"/>
        </w:rPr>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r>
        <w:rPr>
          <w:b/>
          <w:bCs/>
          <w:sz w:val="22"/>
          <w:szCs w:val="22"/>
        </w:rPr>
        <w:br w:type="page"/>
      </w:r>
    </w:p>
    <w:p>
      <w:pPr>
        <w:tabs>
          <w:tab w:val="left" w:pos="567"/>
        </w:tabs>
        <w:jc w:val="both"/>
        <w:rPr>
          <w:b/>
          <w:iCs/>
          <w:noProof/>
          <w:sz w:val="22"/>
          <w:szCs w:val="22"/>
        </w:rPr>
      </w:pPr>
    </w:p>
    <w:p>
      <w:pPr>
        <w:tabs>
          <w:tab w:val="left" w:pos="567"/>
        </w:tabs>
        <w:jc w:val="both"/>
        <w:rPr>
          <w:b/>
          <w:iCs/>
          <w:noProof/>
          <w:sz w:val="22"/>
          <w:szCs w:val="22"/>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tabs>
          <w:tab w:val="left" w:pos="720"/>
        </w:tabs>
        <w:jc w:val="both"/>
        <w:rPr>
          <w:b/>
          <w:sz w:val="22"/>
          <w:szCs w:val="22"/>
          <w:lang w:eastAsia="en-US"/>
        </w:rPr>
      </w:pPr>
    </w:p>
    <w:p>
      <w:pPr>
        <w:tabs>
          <w:tab w:val="left" w:pos="567"/>
        </w:tabs>
        <w:jc w:val="both"/>
        <w:rPr>
          <w:b/>
          <w:bCs/>
          <w:sz w:val="22"/>
          <w:szCs w:val="22"/>
        </w:rPr>
      </w:pPr>
      <w:r>
        <w:rPr>
          <w:b/>
          <w:bCs/>
          <w:sz w:val="22"/>
          <w:szCs w:val="22"/>
        </w:rPr>
        <w:t>13.</w:t>
      </w:r>
      <w:r>
        <w:rPr>
          <w:b/>
          <w:bCs/>
          <w:sz w:val="22"/>
          <w:szCs w:val="22"/>
        </w:rPr>
        <w:tab/>
        <w:t>Maddi olmayan duran varlıklara ilişkin açıklamalar:</w:t>
      </w:r>
    </w:p>
    <w:p>
      <w:pPr>
        <w:jc w:val="both"/>
        <w:rPr>
          <w:b/>
          <w:bCs/>
          <w:sz w:val="22"/>
          <w:szCs w:val="22"/>
        </w:rPr>
      </w:pPr>
    </w:p>
    <w:p>
      <w:pPr>
        <w:tabs>
          <w:tab w:val="left" w:pos="567"/>
        </w:tabs>
        <w:ind w:left="567" w:hanging="709"/>
        <w:jc w:val="both"/>
        <w:rPr>
          <w:bCs/>
          <w:sz w:val="22"/>
          <w:szCs w:val="22"/>
        </w:rPr>
      </w:pPr>
      <w:r>
        <w:rPr>
          <w:bCs/>
          <w:sz w:val="22"/>
          <w:szCs w:val="22"/>
        </w:rPr>
        <w:tab/>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p>
    <w:p>
      <w:pPr>
        <w:pStyle w:val="BodyTextIndent"/>
        <w:tabs>
          <w:tab w:val="left" w:pos="567"/>
        </w:tabs>
        <w:ind w:firstLine="0"/>
        <w:rPr>
          <w:b/>
          <w:bCs/>
          <w:sz w:val="22"/>
          <w:szCs w:val="22"/>
        </w:rPr>
      </w:pPr>
      <w:r>
        <w:rPr>
          <w:b/>
          <w:bCs/>
          <w:sz w:val="22"/>
          <w:szCs w:val="22"/>
        </w:rPr>
        <w:t>14.</w:t>
      </w:r>
      <w:r>
        <w:rPr>
          <w:b/>
          <w:bCs/>
          <w:sz w:val="22"/>
          <w:szCs w:val="22"/>
        </w:rPr>
        <w:tab/>
      </w:r>
      <w:r>
        <w:rPr>
          <w:b/>
          <w:bCs/>
          <w:sz w:val="22"/>
          <w:szCs w:val="22"/>
        </w:rPr>
        <w:t>Yatırım amaçlı gayrimenkullere ilişkin açıklamalar:</w:t>
      </w:r>
    </w:p>
    <w:p>
      <w:pPr>
        <w:pStyle w:val="BodyTextIndent"/>
        <w:ind w:firstLine="567"/>
        <w:rPr>
          <w:b/>
          <w:bCs/>
          <w:sz w:val="22"/>
          <w:szCs w:val="22"/>
        </w:rPr>
      </w:pPr>
    </w:p>
    <w:p>
      <w:pPr>
        <w:ind w:left="567"/>
        <w:jc w:val="both"/>
        <w:rPr>
          <w:sz w:val="22"/>
          <w:szCs w:val="22"/>
        </w:rPr>
      </w:pPr>
      <w:r>
        <w:rPr>
          <w:sz w:val="22"/>
          <w:szCs w:val="22"/>
        </w:rPr>
        <w:t xml:space="preserve">Banka’nın </w:t>
      </w:r>
      <w:r>
        <w:rPr>
          <w:sz w:val="22"/>
          <w:szCs w:val="22"/>
        </w:rPr>
        <w:t>30 Haziran</w:t>
      </w:r>
      <w:r>
        <w:rPr>
          <w:sz w:val="22"/>
          <w:szCs w:val="22"/>
        </w:rPr>
        <w:t xml:space="preserve"> 201</w:t>
      </w:r>
      <w:r>
        <w:rPr>
          <w:sz w:val="22"/>
          <w:szCs w:val="22"/>
        </w:rPr>
        <w:t>1</w:t>
      </w:r>
      <w:r>
        <w:rPr>
          <w:sz w:val="22"/>
          <w:szCs w:val="22"/>
        </w:rPr>
        <w:t xml:space="preserve"> tarihi </w:t>
      </w:r>
      <w:r>
        <w:rPr>
          <w:sz w:val="22"/>
          <w:szCs w:val="22"/>
        </w:rPr>
        <w:t>itibarıyla</w:t>
      </w:r>
      <w:r>
        <w:rPr>
          <w:sz w:val="22"/>
          <w:szCs w:val="22"/>
        </w:rPr>
        <w:t xml:space="preserve"> kiraya vermek amacıyla elde tuttuğu </w:t>
      </w:r>
      <w:r>
        <w:rPr>
          <w:sz w:val="22"/>
          <w:szCs w:val="22"/>
        </w:rPr>
        <w:t>2.455</w:t>
      </w:r>
      <w:r>
        <w:rPr>
          <w:sz w:val="22"/>
          <w:szCs w:val="22"/>
        </w:rPr>
        <w:t xml:space="preserve"> </w:t>
      </w:r>
      <w:r>
        <w:rPr>
          <w:sz w:val="22"/>
          <w:szCs w:val="22"/>
        </w:rPr>
        <w:t xml:space="preserve">Bin TL tutarında yatırım amaçlı gayrimenkulü bulunmaktadır. </w:t>
      </w:r>
      <w:r>
        <w:rPr>
          <w:sz w:val="22"/>
          <w:szCs w:val="22"/>
        </w:rPr>
        <w:t>2010 yılı Ocak ayında</w:t>
      </w:r>
      <w:r>
        <w:rPr>
          <w:sz w:val="22"/>
          <w:szCs w:val="22"/>
        </w:rPr>
        <w:t xml:space="preserve"> SPK lisanslı bağımsız ekspertiz kuruluşuna yaptırılan değerleme çalışmasın</w:t>
      </w:r>
      <w:r>
        <w:rPr>
          <w:sz w:val="22"/>
          <w:szCs w:val="22"/>
        </w:rPr>
        <w:t>a</w:t>
      </w:r>
      <w:r>
        <w:rPr>
          <w:sz w:val="22"/>
          <w:szCs w:val="22"/>
        </w:rPr>
        <w:t xml:space="preserve"> göre, söz konusu gayrimenkullerin gerçeğe uygun değeri 5.449 Bin TL</w:t>
      </w:r>
      <w:r>
        <w:rPr>
          <w:sz w:val="22"/>
          <w:szCs w:val="22"/>
        </w:rPr>
        <w:t xml:space="preserve"> olup, bir kısım gayrimenkul için 540 Bin TL karşılık ayrılmıştır</w:t>
      </w:r>
      <w:r>
        <w:rPr>
          <w:sz w:val="22"/>
          <w:szCs w:val="22"/>
        </w:rPr>
        <w:t xml:space="preserve">. </w:t>
      </w:r>
      <w:r>
        <w:rPr>
          <w:sz w:val="22"/>
          <w:szCs w:val="22"/>
        </w:rPr>
        <w:t>Banka bu gayrimenkullerden</w:t>
      </w:r>
      <w:r>
        <w:rPr>
          <w:sz w:val="22"/>
          <w:szCs w:val="22"/>
        </w:rPr>
        <w:t xml:space="preserve"> </w:t>
      </w:r>
      <w:r>
        <w:rPr>
          <w:sz w:val="22"/>
          <w:szCs w:val="22"/>
        </w:rPr>
        <w:t>30 Haziran</w:t>
      </w:r>
      <w:r>
        <w:rPr>
          <w:sz w:val="22"/>
          <w:szCs w:val="22"/>
        </w:rPr>
        <w:t xml:space="preserve"> 201</w:t>
      </w:r>
      <w:r>
        <w:rPr>
          <w:sz w:val="22"/>
          <w:szCs w:val="22"/>
        </w:rPr>
        <w:t>1</w:t>
      </w:r>
      <w:r>
        <w:rPr>
          <w:sz w:val="22"/>
          <w:szCs w:val="22"/>
        </w:rPr>
        <w:t xml:space="preserve"> tarihi itibarıyla</w:t>
      </w:r>
      <w:r>
        <w:rPr>
          <w:sz w:val="22"/>
          <w:szCs w:val="22"/>
        </w:rPr>
        <w:t xml:space="preserve"> </w:t>
      </w:r>
      <w:r>
        <w:rPr>
          <w:sz w:val="22"/>
          <w:szCs w:val="22"/>
        </w:rPr>
        <w:t>14</w:t>
      </w:r>
      <w:r>
        <w:rPr>
          <w:sz w:val="22"/>
          <w:szCs w:val="22"/>
        </w:rPr>
        <w:t>4</w:t>
      </w:r>
      <w:r>
        <w:rPr>
          <w:sz w:val="22"/>
          <w:szCs w:val="22"/>
        </w:rPr>
        <w:t xml:space="preserve"> Bin TL kira geliri elde etmiştir. </w:t>
      </w:r>
    </w:p>
    <w:p>
      <w:pPr>
        <w:pStyle w:val="BodyTextIndent"/>
        <w:tabs>
          <w:tab w:val="left" w:pos="567"/>
        </w:tabs>
        <w:ind w:firstLine="0"/>
        <w:rPr>
          <w:b/>
          <w:bCs/>
          <w:sz w:val="22"/>
          <w:szCs w:val="22"/>
        </w:rPr>
      </w:pPr>
    </w:p>
    <w:p>
      <w:pPr>
        <w:pStyle w:val="BodyTextIndent"/>
        <w:tabs>
          <w:tab w:val="left" w:pos="567"/>
        </w:tabs>
        <w:ind w:firstLine="0"/>
        <w:rPr>
          <w:b/>
          <w:bCs/>
          <w:sz w:val="22"/>
          <w:szCs w:val="22"/>
        </w:rPr>
      </w:pPr>
      <w:r>
        <w:rPr>
          <w:b/>
          <w:bCs/>
          <w:sz w:val="22"/>
          <w:szCs w:val="22"/>
        </w:rPr>
        <w:t>15.</w:t>
      </w:r>
      <w:r>
        <w:rPr>
          <w:b/>
          <w:bCs/>
          <w:sz w:val="22"/>
          <w:szCs w:val="22"/>
        </w:rPr>
        <w:tab/>
      </w:r>
      <w:r>
        <w:rPr>
          <w:b/>
          <w:bCs/>
          <w:sz w:val="22"/>
          <w:szCs w:val="22"/>
        </w:rPr>
        <w:t>Ertelenmiş vergi varlığına ilişkin açıklamalar:</w:t>
      </w:r>
      <w:r>
        <w:rPr>
          <w:b/>
          <w:bCs/>
          <w:sz w:val="22"/>
          <w:szCs w:val="22"/>
        </w:rPr>
        <w:t xml:space="preserve"> </w:t>
      </w:r>
    </w:p>
    <w:p>
      <w:pPr>
        <w:pStyle w:val="BodyText"/>
        <w:tabs>
          <w:tab w:val="clear" w:pos="720"/>
        </w:tabs>
        <w:ind w:left="567"/>
        <w:rPr>
          <w:sz w:val="22"/>
          <w:szCs w:val="22"/>
        </w:rPr>
      </w:pPr>
    </w:p>
    <w:p>
      <w:pPr>
        <w:ind w:left="567"/>
        <w:jc w:val="both"/>
        <w:rPr>
          <w:bCs/>
          <w:sz w:val="22"/>
          <w:szCs w:val="22"/>
        </w:rPr>
      </w:pPr>
      <w:r>
        <w:rPr>
          <w:bCs/>
          <w:sz w:val="22"/>
          <w:szCs w:val="22"/>
        </w:rPr>
        <w:t>Bankalarca</w:t>
      </w:r>
      <w:r>
        <w:rPr>
          <w:bCs/>
          <w:sz w:val="22"/>
          <w:szCs w:val="22"/>
        </w:rPr>
        <w:t xml:space="preserve"> </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ind w:left="567"/>
        <w:jc w:val="both"/>
        <w:rPr>
          <w:bCs/>
          <w:sz w:val="22"/>
          <w:szCs w:val="22"/>
        </w:rPr>
      </w:pPr>
    </w:p>
    <w:p>
      <w:pPr>
        <w:tabs>
          <w:tab w:val="left" w:pos="567"/>
        </w:tabs>
        <w:jc w:val="both"/>
        <w:rPr>
          <w:b/>
          <w:bCs/>
          <w:sz w:val="22"/>
          <w:szCs w:val="22"/>
        </w:rPr>
      </w:pPr>
      <w:r>
        <w:rPr>
          <w:b/>
          <w:bCs/>
          <w:sz w:val="22"/>
          <w:szCs w:val="22"/>
        </w:rPr>
        <w:t>16.</w:t>
      </w:r>
      <w:r>
        <w:rPr>
          <w:b/>
          <w:bCs/>
          <w:sz w:val="22"/>
          <w:szCs w:val="22"/>
        </w:rPr>
        <w:tab/>
      </w:r>
      <w:r>
        <w:rPr>
          <w:b/>
          <w:bCs/>
          <w:sz w:val="22"/>
          <w:szCs w:val="22"/>
        </w:rPr>
        <w:t>Satış amaçlı elde tutulan ve durdurulan faaliyetlere ilişkin duran varlıklara ilişkin açıklamalar:</w:t>
      </w:r>
    </w:p>
    <w:p>
      <w:pPr>
        <w:ind w:left="567"/>
        <w:jc w:val="both"/>
        <w:rPr>
          <w:b/>
          <w:bCs/>
          <w:sz w:val="22"/>
          <w:szCs w:val="22"/>
        </w:rPr>
      </w:pPr>
    </w:p>
    <w:p>
      <w:pPr>
        <w:tabs>
          <w:tab w:val="left" w:pos="567"/>
        </w:tabs>
        <w:jc w:val="both"/>
        <w:rPr>
          <w:sz w:val="22"/>
          <w:szCs w:val="22"/>
        </w:rPr>
      </w:pPr>
      <w:r>
        <w:rPr>
          <w:sz w:val="22"/>
          <w:szCs w:val="22"/>
        </w:rPr>
        <w:tab/>
      </w:r>
      <w:r>
        <w:rPr>
          <w:sz w:val="22"/>
          <w:szCs w:val="22"/>
        </w:rPr>
        <w:t>Banka’nın satış amaçlı elde tutulan ve durdurulan faaliyetlere ilişkin duran varlığı bulunmamaktadır.</w:t>
      </w:r>
    </w:p>
    <w:p>
      <w:pPr>
        <w:tabs>
          <w:tab w:val="left" w:pos="567"/>
        </w:tabs>
        <w:jc w:val="both"/>
        <w:rPr>
          <w:sz w:val="22"/>
          <w:szCs w:val="22"/>
        </w:rPr>
      </w:pPr>
    </w:p>
    <w:p>
      <w:pPr>
        <w:tabs>
          <w:tab w:val="left" w:pos="567"/>
        </w:tabs>
        <w:jc w:val="both"/>
        <w:rPr>
          <w:b/>
          <w:bCs/>
          <w:sz w:val="22"/>
          <w:szCs w:val="22"/>
        </w:rPr>
      </w:pPr>
      <w:r>
        <w:rPr>
          <w:b/>
          <w:bCs/>
          <w:sz w:val="22"/>
          <w:szCs w:val="22"/>
        </w:rPr>
        <w:t>17.</w:t>
      </w:r>
      <w:r>
        <w:rPr>
          <w:b/>
          <w:bCs/>
          <w:sz w:val="22"/>
          <w:szCs w:val="22"/>
        </w:rPr>
        <w:tab/>
        <w:t>Diğer aktiflere ilişkin bilgiler:</w:t>
      </w:r>
    </w:p>
    <w:p>
      <w:pPr>
        <w:ind w:left="567"/>
        <w:jc w:val="both"/>
        <w:rPr>
          <w:b/>
          <w:bCs/>
          <w:sz w:val="16"/>
          <w:szCs w:val="16"/>
        </w:rPr>
      </w:pPr>
    </w:p>
    <w:p>
      <w:pPr>
        <w:tabs>
          <w:tab w:val="left" w:pos="360"/>
          <w:tab w:val="left" w:pos="567"/>
        </w:tabs>
        <w:ind w:left="567"/>
        <w:jc w:val="both"/>
        <w:rPr>
          <w:sz w:val="22"/>
          <w:szCs w:val="22"/>
        </w:rPr>
      </w:pPr>
      <w:r>
        <w:rPr>
          <w:sz w:val="22"/>
          <w:szCs w:val="22"/>
        </w:rPr>
        <w:t xml:space="preserve">Toplam </w:t>
      </w:r>
      <w:r>
        <w:rPr>
          <w:sz w:val="22"/>
          <w:szCs w:val="22"/>
        </w:rPr>
        <w:t>14.286</w:t>
      </w:r>
      <w:r>
        <w:rPr>
          <w:sz w:val="22"/>
          <w:szCs w:val="22"/>
        </w:rPr>
        <w:t xml:space="preserve"> Bin TL (31 Aralık 20</w:t>
      </w:r>
      <w:r>
        <w:rPr>
          <w:sz w:val="22"/>
          <w:szCs w:val="22"/>
        </w:rPr>
        <w:t>10</w:t>
      </w:r>
      <w:r>
        <w:rPr>
          <w:sz w:val="22"/>
          <w:szCs w:val="22"/>
        </w:rPr>
        <w:t xml:space="preserve">: </w:t>
      </w:r>
      <w:r>
        <w:rPr>
          <w:sz w:val="22"/>
          <w:szCs w:val="22"/>
        </w:rPr>
        <w:t>3</w:t>
      </w:r>
      <w:r>
        <w:rPr>
          <w:sz w:val="22"/>
          <w:szCs w:val="22"/>
        </w:rPr>
        <w:t>.8</w:t>
      </w:r>
      <w:r>
        <w:rPr>
          <w:sz w:val="22"/>
          <w:szCs w:val="22"/>
        </w:rPr>
        <w:t>47</w:t>
      </w:r>
      <w:r>
        <w:rPr>
          <w:sz w:val="22"/>
          <w:szCs w:val="22"/>
        </w:rPr>
        <w:t xml:space="preserve"> Bin TL) tutarındaki diğer aktifler; </w:t>
      </w:r>
      <w:r>
        <w:rPr>
          <w:sz w:val="22"/>
          <w:szCs w:val="22"/>
        </w:rPr>
        <w:t>37</w:t>
      </w:r>
      <w:r>
        <w:rPr>
          <w:sz w:val="22"/>
          <w:szCs w:val="22"/>
        </w:rPr>
        <w:t xml:space="preserve"> Bin TL tutarında ayniyat mevcudunu (31 Aralık 20</w:t>
      </w:r>
      <w:r>
        <w:rPr>
          <w:sz w:val="22"/>
          <w:szCs w:val="22"/>
        </w:rPr>
        <w:t>10</w:t>
      </w:r>
      <w:r>
        <w:rPr>
          <w:sz w:val="22"/>
          <w:szCs w:val="22"/>
        </w:rPr>
        <w:t xml:space="preserve">: </w:t>
      </w:r>
      <w:r>
        <w:rPr>
          <w:sz w:val="22"/>
          <w:szCs w:val="22"/>
        </w:rPr>
        <w:t>50</w:t>
      </w:r>
      <w:r>
        <w:rPr>
          <w:sz w:val="22"/>
          <w:szCs w:val="22"/>
        </w:rPr>
        <w:t xml:space="preserve"> Bin TL), 2.</w:t>
      </w:r>
      <w:r>
        <w:rPr>
          <w:sz w:val="22"/>
          <w:szCs w:val="22"/>
        </w:rPr>
        <w:t>643</w:t>
      </w:r>
      <w:r>
        <w:rPr>
          <w:sz w:val="22"/>
          <w:szCs w:val="22"/>
        </w:rPr>
        <w:t xml:space="preserve"> Bin TL tutarında peşin ödenmiş giderleri (31 </w:t>
      </w:r>
      <w:r>
        <w:rPr>
          <w:sz w:val="22"/>
          <w:szCs w:val="22"/>
        </w:rPr>
        <w:t>A</w:t>
      </w:r>
      <w:r>
        <w:rPr>
          <w:sz w:val="22"/>
          <w:szCs w:val="22"/>
        </w:rPr>
        <w:t>ralık 20</w:t>
      </w:r>
      <w:r>
        <w:rPr>
          <w:sz w:val="22"/>
          <w:szCs w:val="22"/>
        </w:rPr>
        <w:t>10</w:t>
      </w:r>
      <w:r>
        <w:rPr>
          <w:sz w:val="22"/>
          <w:szCs w:val="22"/>
        </w:rPr>
        <w:t>: 2.</w:t>
      </w:r>
      <w:r>
        <w:rPr>
          <w:sz w:val="22"/>
          <w:szCs w:val="22"/>
        </w:rPr>
        <w:t>734</w:t>
      </w:r>
      <w:r>
        <w:rPr>
          <w:sz w:val="22"/>
          <w:szCs w:val="22"/>
        </w:rPr>
        <w:t xml:space="preserve"> Bin TL), </w:t>
      </w:r>
      <w:r>
        <w:rPr>
          <w:sz w:val="22"/>
          <w:szCs w:val="22"/>
        </w:rPr>
        <w:t>9.945</w:t>
      </w:r>
      <w:r>
        <w:rPr>
          <w:sz w:val="22"/>
          <w:szCs w:val="22"/>
        </w:rPr>
        <w:t xml:space="preserve"> Bin TL tutarında borçlu geçici hesapları (31 Aralık 20</w:t>
      </w:r>
      <w:r>
        <w:rPr>
          <w:sz w:val="22"/>
          <w:szCs w:val="22"/>
        </w:rPr>
        <w:t>10</w:t>
      </w:r>
      <w:r>
        <w:rPr>
          <w:sz w:val="22"/>
          <w:szCs w:val="22"/>
        </w:rPr>
        <w:t>:</w:t>
      </w:r>
      <w:r>
        <w:rPr>
          <w:sz w:val="22"/>
          <w:szCs w:val="22"/>
        </w:rPr>
        <w:t>430</w:t>
      </w:r>
      <w:r>
        <w:rPr>
          <w:sz w:val="22"/>
          <w:szCs w:val="22"/>
        </w:rPr>
        <w:t xml:space="preserve"> Bin TL), </w:t>
      </w:r>
      <w:r>
        <w:rPr>
          <w:sz w:val="22"/>
          <w:szCs w:val="22"/>
        </w:rPr>
        <w:t>122</w:t>
      </w:r>
      <w:r>
        <w:rPr>
          <w:sz w:val="22"/>
          <w:szCs w:val="22"/>
        </w:rPr>
        <w:t xml:space="preserve"> Bin TL tutarında muhtelif alacakları (31 Aralık 20</w:t>
      </w:r>
      <w:r>
        <w:rPr>
          <w:sz w:val="22"/>
          <w:szCs w:val="22"/>
        </w:rPr>
        <w:t>10</w:t>
      </w:r>
      <w:r>
        <w:rPr>
          <w:sz w:val="22"/>
          <w:szCs w:val="22"/>
        </w:rPr>
        <w:t xml:space="preserve">: </w:t>
      </w:r>
      <w:r>
        <w:rPr>
          <w:sz w:val="22"/>
          <w:szCs w:val="22"/>
        </w:rPr>
        <w:t>97</w:t>
      </w:r>
      <w:r>
        <w:rPr>
          <w:sz w:val="22"/>
          <w:szCs w:val="22"/>
        </w:rPr>
        <w:t xml:space="preserve"> Bin TL),</w:t>
      </w:r>
      <w:r>
        <w:rPr>
          <w:sz w:val="22"/>
          <w:szCs w:val="22"/>
        </w:rPr>
        <w:t xml:space="preserve"> </w:t>
      </w:r>
      <w:r>
        <w:rPr>
          <w:sz w:val="22"/>
          <w:szCs w:val="22"/>
        </w:rPr>
        <w:t>1.</w:t>
      </w:r>
      <w:r>
        <w:rPr>
          <w:sz w:val="22"/>
          <w:szCs w:val="22"/>
        </w:rPr>
        <w:t>538</w:t>
      </w:r>
      <w:r>
        <w:rPr>
          <w:sz w:val="22"/>
          <w:szCs w:val="22"/>
        </w:rPr>
        <w:t xml:space="preserve"> Bin TL</w:t>
      </w:r>
      <w:r>
        <w:rPr>
          <w:sz w:val="22"/>
          <w:szCs w:val="22"/>
        </w:rPr>
        <w:t>, a</w:t>
      </w:r>
      <w:r>
        <w:rPr>
          <w:sz w:val="22"/>
          <w:szCs w:val="22"/>
        </w:rPr>
        <w:t>ktiflerimizin vadeli satışından doğan alacakları (31 Aralık 2010</w:t>
      </w:r>
      <w:r>
        <w:rPr>
          <w:sz w:val="22"/>
          <w:szCs w:val="22"/>
        </w:rPr>
        <w:t>:</w:t>
      </w:r>
      <w:r>
        <w:rPr>
          <w:sz w:val="22"/>
          <w:szCs w:val="22"/>
        </w:rPr>
        <w:t xml:space="preserve"> 521 Bin TL)</w:t>
      </w:r>
      <w:r>
        <w:rPr>
          <w:sz w:val="22"/>
          <w:szCs w:val="22"/>
        </w:rPr>
        <w:t xml:space="preserve"> ve</w:t>
      </w:r>
      <w:r>
        <w:rPr>
          <w:sz w:val="22"/>
          <w:szCs w:val="22"/>
        </w:rPr>
        <w:t xml:space="preserve"> </w:t>
      </w:r>
      <w:r>
        <w:rPr>
          <w:sz w:val="22"/>
          <w:szCs w:val="22"/>
        </w:rPr>
        <w:t>1 Bin TL tutarında kamu kurum ve kuruluşlarından alacakları (31 Aralık 20</w:t>
      </w:r>
      <w:r>
        <w:rPr>
          <w:sz w:val="22"/>
          <w:szCs w:val="22"/>
        </w:rPr>
        <w:t>10</w:t>
      </w:r>
      <w:r>
        <w:rPr>
          <w:sz w:val="22"/>
          <w:szCs w:val="22"/>
        </w:rPr>
        <w:t xml:space="preserve">: </w:t>
      </w:r>
      <w:r>
        <w:rPr>
          <w:sz w:val="22"/>
          <w:szCs w:val="22"/>
        </w:rPr>
        <w:t>1</w:t>
      </w:r>
      <w:r>
        <w:rPr>
          <w:sz w:val="22"/>
          <w:szCs w:val="22"/>
        </w:rPr>
        <w:t xml:space="preserve"> Bin TL) içermektedir.</w:t>
      </w:r>
      <w:r>
        <w:rPr>
          <w:sz w:val="22"/>
          <w:szCs w:val="22"/>
        </w:rPr>
        <w:t xml:space="preserve"> Borçlu </w:t>
      </w:r>
      <w:r>
        <w:rPr>
          <w:sz w:val="22"/>
          <w:szCs w:val="22"/>
        </w:rPr>
        <w:t>geçici hesaplarda yer alan 9.945</w:t>
      </w:r>
      <w:r>
        <w:rPr>
          <w:sz w:val="22"/>
          <w:szCs w:val="22"/>
        </w:rPr>
        <w:t xml:space="preserve"> Bin TL’nın 9.330 Bin TL’sı, Banka tarafından alacağa karşılık icraen satın alınan  1 adet gayrımenkulün alacak tutarını aşan kısmına karşılık tescil işlemi gerçekleşinceye kadar mahkeme nezdinde bloke edilen tutardan oluşmaktadır.</w:t>
      </w:r>
    </w:p>
    <w:p>
      <w:pPr>
        <w:tabs>
          <w:tab w:val="left" w:pos="567"/>
        </w:tabs>
        <w:jc w:val="both"/>
        <w:rPr>
          <w:b/>
          <w:bCs/>
          <w:sz w:val="22"/>
          <w:szCs w:val="22"/>
        </w:rPr>
      </w:pPr>
    </w:p>
    <w:p>
      <w:pPr>
        <w:pStyle w:val="Heading4"/>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r>
      <w:r>
        <w:rPr>
          <w:rFonts w:ascii="Times New Roman" w:hAnsi="Times New Roman"/>
          <w:sz w:val="22"/>
          <w:szCs w:val="22"/>
        </w:rPr>
        <w:t>Bilançonun pasif hesaplarına ilişkin açıklama ve dipnotlar</w:t>
      </w:r>
      <w:r>
        <w:rPr>
          <w:rFonts w:ascii="Times New Roman" w:hAnsi="Times New Roman"/>
          <w:sz w:val="22"/>
          <w:szCs w:val="22"/>
        </w:rPr>
        <w:t>:</w:t>
      </w:r>
    </w:p>
    <w:p>
      <w:pPr>
        <w:ind w:left="567"/>
        <w:jc w:val="both"/>
        <w:rPr>
          <w:sz w:val="22"/>
          <w:szCs w:val="22"/>
        </w:rPr>
      </w:pPr>
    </w:p>
    <w:p>
      <w:pPr>
        <w:numPr>
          <w:ilvl w:val="2"/>
          <w:numId w:val="8"/>
        </w:numPr>
        <w:tabs>
          <w:tab w:val="clear" w:pos="2340"/>
          <w:tab w:val="num" w:pos="567"/>
        </w:tabs>
        <w:ind w:hanging="2340"/>
        <w:rPr>
          <w:b/>
          <w:bCs/>
          <w:sz w:val="22"/>
          <w:szCs w:val="22"/>
        </w:rPr>
      </w:pPr>
      <w:r>
        <w:rPr>
          <w:b/>
          <w:bCs/>
          <w:sz w:val="22"/>
          <w:szCs w:val="22"/>
        </w:rPr>
        <w:t>Mevduat / toplanan fonların vade yapısına ilişkin bilgiler:</w:t>
      </w:r>
    </w:p>
    <w:p>
      <w:pPr>
        <w:pStyle w:val="EndnoteText"/>
        <w:ind w:left="567"/>
        <w:rPr>
          <w:sz w:val="22"/>
          <w:szCs w:val="22"/>
        </w:rPr>
      </w:pPr>
      <w:r>
        <w:rPr>
          <w:sz w:val="22"/>
          <w:szCs w:val="22"/>
        </w:rPr>
        <w:tab/>
      </w:r>
    </w:p>
    <w:p>
      <w:pPr>
        <w:pStyle w:val="EndnoteText"/>
        <w:ind w:left="270" w:firstLine="297"/>
        <w:rPr>
          <w:sz w:val="22"/>
          <w:szCs w:val="22"/>
        </w:rPr>
      </w:pPr>
      <w:r>
        <w:rPr>
          <w:sz w:val="22"/>
          <w:szCs w:val="22"/>
        </w:rPr>
        <w:t xml:space="preserve">Bankaca </w:t>
      </w:r>
      <w:r>
        <w:rPr>
          <w:sz w:val="22"/>
          <w:szCs w:val="22"/>
        </w:rPr>
        <w:t>mevduat kabulü ve fon toplama işlemleri yapılmamaktadır.</w:t>
      </w:r>
    </w:p>
    <w:p>
      <w:pPr>
        <w:tabs>
          <w:tab w:val="left" w:pos="-2160"/>
          <w:tab w:val="left" w:pos="720"/>
        </w:tabs>
        <w:ind w:left="567"/>
        <w:rPr>
          <w:sz w:val="22"/>
          <w:szCs w:val="22"/>
        </w:rPr>
      </w:pPr>
    </w:p>
    <w:p>
      <w:pPr>
        <w:numPr>
          <w:ilvl w:val="0"/>
          <w:numId w:val="8"/>
        </w:numPr>
        <w:tabs>
          <w:tab w:val="clear" w:pos="1080"/>
          <w:tab w:val="num" w:pos="567"/>
        </w:tabs>
        <w:ind w:left="567" w:hanging="567"/>
        <w:jc w:val="both"/>
        <w:rPr>
          <w:b/>
          <w:bCs/>
          <w:sz w:val="22"/>
          <w:szCs w:val="22"/>
        </w:rPr>
      </w:pPr>
      <w:r>
        <w:rPr>
          <w:b/>
          <w:bCs/>
          <w:sz w:val="22"/>
          <w:szCs w:val="22"/>
        </w:rPr>
        <w:t>Alım satım amaçlı türev finansal borçlara ilişkin bilgiler:</w:t>
      </w:r>
    </w:p>
    <w:p>
      <w:pPr>
        <w:ind w:left="567"/>
        <w:jc w:val="both"/>
        <w:rPr>
          <w:b/>
          <w:bCs/>
          <w:sz w:val="22"/>
          <w:szCs w:val="22"/>
        </w:rPr>
      </w:pPr>
    </w:p>
    <w:p>
      <w:pPr>
        <w:tabs>
          <w:tab w:val="left" w:pos="567"/>
        </w:tabs>
        <w:jc w:val="both"/>
        <w:rPr>
          <w:b/>
          <w:bCs/>
          <w:sz w:val="22"/>
          <w:szCs w:val="22"/>
        </w:rPr>
      </w:pPr>
      <w:r>
        <w:rPr>
          <w:b/>
          <w:bCs/>
          <w:sz w:val="22"/>
          <w:szCs w:val="22"/>
        </w:rPr>
        <w:t>2.a)</w:t>
      </w:r>
      <w:r>
        <w:rPr>
          <w:b/>
          <w:bCs/>
          <w:sz w:val="22"/>
          <w:szCs w:val="22"/>
        </w:rPr>
        <w:tab/>
      </w:r>
      <w:r>
        <w:rPr>
          <w:b/>
          <w:bCs/>
          <w:sz w:val="22"/>
          <w:szCs w:val="22"/>
        </w:rPr>
        <w:t>Alım satım amaçlı türev finansal borçlara ilişkin negatif farklar tablosu:</w:t>
      </w:r>
    </w:p>
    <w:p>
      <w:pPr>
        <w:rPr>
          <w:sz w:val="18"/>
          <w:szCs w:val="18"/>
        </w:rPr>
      </w:pPr>
    </w:p>
    <w:tbl>
      <w:tblPr>
        <w:tblW w:w="9242" w:type="dxa"/>
        <w:tblInd w:w="637" w:type="dxa"/>
        <w:tblCellMar>
          <w:left w:w="70" w:type="dxa"/>
          <w:right w:w="70" w:type="dxa"/>
        </w:tblCellMar>
        <w:tblLook w:val="04A0"/>
      </w:tblPr>
      <w:tblGrid>
        <w:gridCol w:w="3572"/>
        <w:gridCol w:w="1417"/>
        <w:gridCol w:w="1418"/>
        <w:gridCol w:w="1417"/>
        <w:gridCol w:w="1418"/>
      </w:tblGrid>
      <w:tr>
        <w:trPr>
          <w:trHeight w:val="255"/>
        </w:trPr>
        <w:tc>
          <w:tcPr>
            <w:tcW w:w="3572"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pPr>
              <w:rPr>
                <w:b/>
                <w:bCs/>
                <w:sz w:val="18"/>
                <w:szCs w:val="18"/>
              </w:rPr>
            </w:pPr>
            <w:r>
              <w:rPr>
                <w:b/>
                <w:bCs/>
                <w:sz w:val="18"/>
                <w:szCs w:val="18"/>
              </w:rPr>
              <w:t>Alım Satım Amaçlı Türev Finansal Borçlar</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30.06</w:t>
            </w:r>
            <w:r>
              <w:rPr>
                <w:b/>
                <w:sz w:val="18"/>
                <w:szCs w:val="18"/>
              </w:rPr>
              <w:t>.201</w:t>
            </w:r>
            <w:r>
              <w:rPr>
                <w:b/>
                <w:sz w:val="18"/>
                <w:szCs w:val="18"/>
              </w:rPr>
              <w:t>1</w:t>
            </w:r>
            <w:r>
              <w:rPr>
                <w:b/>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hideMark/>
          </w:tcPr>
          <w:p>
            <w:pPr>
              <w:jc w:val="center"/>
              <w:rPr>
                <w:b/>
                <w:sz w:val="18"/>
                <w:szCs w:val="18"/>
              </w:rPr>
            </w:pPr>
            <w:r>
              <w:rPr>
                <w:b/>
                <w:sz w:val="18"/>
                <w:szCs w:val="18"/>
              </w:rPr>
              <w:t>Önceki Dönem</w:t>
            </w:r>
          </w:p>
          <w:p>
            <w:pPr>
              <w:jc w:val="center"/>
              <w:rPr>
                <w:b/>
                <w:sz w:val="18"/>
                <w:szCs w:val="18"/>
              </w:rPr>
            </w:pPr>
            <w:r>
              <w:rPr>
                <w:b/>
                <w:sz w:val="18"/>
                <w:szCs w:val="18"/>
              </w:rPr>
              <w:t>(31.12.20</w:t>
            </w:r>
            <w:r>
              <w:rPr>
                <w:b/>
                <w:sz w:val="18"/>
                <w:szCs w:val="18"/>
              </w:rPr>
              <w:t>10</w:t>
            </w:r>
            <w:r>
              <w:rPr>
                <w:b/>
                <w:sz w:val="18"/>
                <w:szCs w:val="18"/>
              </w:rPr>
              <w:t>)</w:t>
            </w:r>
          </w:p>
        </w:tc>
      </w:tr>
      <w:tr>
        <w:trPr>
          <w:trHeight w:val="225"/>
        </w:trPr>
        <w:tc>
          <w:tcPr>
            <w:tcW w:w="3572" w:type="dxa"/>
            <w:vMerge/>
            <w:tcBorders>
              <w:top w:val="single" w:sz="4" w:space="0" w:color="auto"/>
              <w:left w:val="single" w:sz="4" w:space="0" w:color="auto"/>
              <w:bottom w:val="single" w:sz="4" w:space="0" w:color="000000"/>
              <w:right w:val="single" w:sz="4" w:space="0" w:color="auto"/>
            </w:tcBorders>
            <w:vAlign w:val="bottom"/>
            <w:hideMark/>
          </w:tcPr>
          <w:p>
            <w:pPr>
              <w:rPr>
                <w:b/>
                <w:bCs/>
                <w:sz w:val="18"/>
                <w:szCs w:val="18"/>
              </w:rPr>
            </w:pP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 xml:space="preserve">Vadeli İşlemler </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644</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Swap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Futures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Opsiyonlar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Diğer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rPr>
                <w:b/>
                <w:sz w:val="18"/>
                <w:szCs w:val="18"/>
              </w:rPr>
            </w:pPr>
            <w:r>
              <w:rPr>
                <w:b/>
                <w:sz w:val="18"/>
                <w:szCs w:val="18"/>
              </w:rPr>
              <w:t>Toplam</w:t>
            </w:r>
          </w:p>
        </w:tc>
        <w:tc>
          <w:tcPr>
            <w:tcW w:w="1417"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644</w:t>
            </w:r>
          </w:p>
        </w:tc>
        <w:tc>
          <w:tcPr>
            <w:tcW w:w="1418"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 </w:t>
            </w:r>
          </w:p>
        </w:tc>
      </w:tr>
    </w:tbl>
    <w:p>
      <w:pPr>
        <w:rPr>
          <w:b/>
          <w:bCs/>
          <w:sz w:val="22"/>
          <w:szCs w:val="22"/>
        </w:rPr>
      </w:pPr>
      <w:r>
        <w:rPr>
          <w:b/>
          <w:bCs/>
          <w:sz w:val="22"/>
          <w:szCs w:val="22"/>
        </w:rPr>
        <w:br w:type="page"/>
      </w:r>
    </w:p>
    <w:p>
      <w:pPr>
        <w:tabs>
          <w:tab w:val="left" w:pos="720"/>
        </w:tabs>
        <w:jc w:val="both"/>
        <w:rPr>
          <w:b/>
          <w:iCs/>
          <w:noProof/>
          <w:sz w:val="22"/>
          <w:szCs w:val="22"/>
        </w:rPr>
      </w:pPr>
    </w:p>
    <w:p>
      <w:pPr>
        <w:pStyle w:val="Heading4"/>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w:t>
      </w:r>
    </w:p>
    <w:p>
      <w:pPr>
        <w:tabs>
          <w:tab w:val="left" w:pos="567"/>
        </w:tabs>
        <w:jc w:val="both"/>
        <w:rPr>
          <w:b/>
          <w:sz w:val="22"/>
          <w:szCs w:val="22"/>
          <w:lang w:eastAsia="en-US"/>
        </w:rPr>
      </w:pPr>
    </w:p>
    <w:p>
      <w:pPr>
        <w:ind w:left="567"/>
        <w:jc w:val="both"/>
        <w:rPr>
          <w:b/>
          <w:bCs/>
          <w:sz w:val="16"/>
          <w:szCs w:val="16"/>
        </w:rPr>
      </w:pPr>
    </w:p>
    <w:p>
      <w:pPr>
        <w:numPr>
          <w:ilvl w:val="0"/>
          <w:numId w:val="8"/>
        </w:numPr>
        <w:tabs>
          <w:tab w:val="clear" w:pos="1080"/>
          <w:tab w:val="num" w:pos="567"/>
        </w:tabs>
        <w:ind w:hanging="1080"/>
        <w:rPr>
          <w:b/>
          <w:bCs/>
          <w:sz w:val="22"/>
          <w:szCs w:val="22"/>
        </w:rPr>
      </w:pPr>
      <w:r>
        <w:rPr>
          <w:b/>
          <w:bCs/>
          <w:sz w:val="22"/>
          <w:szCs w:val="22"/>
        </w:rPr>
        <w:t>Alınan kredilere ilişkin bilgiler:</w:t>
      </w:r>
    </w:p>
    <w:p>
      <w:pPr>
        <w:rPr>
          <w:sz w:val="16"/>
          <w:szCs w:val="16"/>
        </w:rPr>
      </w:pPr>
    </w:p>
    <w:p>
      <w:pPr>
        <w:tabs>
          <w:tab w:val="left" w:pos="567"/>
        </w:tabs>
        <w:rPr>
          <w:b/>
          <w:bCs/>
          <w:sz w:val="22"/>
          <w:szCs w:val="22"/>
        </w:rPr>
      </w:pPr>
      <w:r>
        <w:rPr>
          <w:b/>
          <w:bCs/>
          <w:sz w:val="22"/>
          <w:szCs w:val="22"/>
        </w:rPr>
        <w:t>3.a)</w:t>
      </w:r>
      <w:r>
        <w:rPr>
          <w:b/>
          <w:bCs/>
          <w:sz w:val="22"/>
          <w:szCs w:val="22"/>
        </w:rPr>
        <w:tab/>
      </w:r>
      <w:r>
        <w:rPr>
          <w:b/>
          <w:bCs/>
          <w:sz w:val="22"/>
          <w:szCs w:val="22"/>
        </w:rPr>
        <w:t>Bankalar ve diğer mal</w:t>
      </w:r>
      <w:r>
        <w:rPr>
          <w:b/>
          <w:bCs/>
          <w:sz w:val="22"/>
          <w:szCs w:val="22"/>
        </w:rPr>
        <w:t>i kuruluşlara ilişkin bilgiler:</w:t>
      </w:r>
    </w:p>
    <w:p>
      <w:pPr>
        <w:ind w:left="567"/>
        <w:rPr>
          <w:b/>
          <w:bCs/>
          <w:sz w:val="18"/>
          <w:szCs w:val="18"/>
        </w:rPr>
      </w:pPr>
    </w:p>
    <w:tbl>
      <w:tblPr>
        <w:tblW w:w="0" w:type="auto"/>
        <w:tblInd w:w="637" w:type="dxa"/>
        <w:tblLayout w:type="fixed"/>
        <w:tblCellMar>
          <w:left w:w="70" w:type="dxa"/>
          <w:right w:w="70" w:type="dxa"/>
        </w:tblCellMar>
        <w:tblLook w:val="00A0"/>
      </w:tblPr>
      <w:tblGrid>
        <w:gridCol w:w="3572"/>
        <w:gridCol w:w="1417"/>
        <w:gridCol w:w="1418"/>
        <w:gridCol w:w="1417"/>
        <w:gridCol w:w="1419"/>
      </w:tblGrid>
      <w:tr>
        <w:trPr>
          <w:cantSplit/>
          <w:trHeight w:val="255"/>
        </w:trPr>
        <w:tc>
          <w:tcPr>
            <w:tcW w:w="3572" w:type="dxa"/>
            <w:vMerge w:val="restart"/>
            <w:tcBorders>
              <w:top w:val="single" w:sz="4" w:space="0" w:color="auto"/>
              <w:left w:val="single" w:sz="4" w:space="0" w:color="auto"/>
              <w:right w:val="single" w:sz="4" w:space="0" w:color="auto"/>
            </w:tcBorders>
            <w:shd w:val="clear" w:color="000000" w:fill="FFFFFF"/>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3572" w:type="dxa"/>
            <w:vMerge/>
            <w:tcBorders>
              <w:left w:val="single" w:sz="4" w:space="0" w:color="auto"/>
              <w:bottom w:val="single" w:sz="4" w:space="0" w:color="auto"/>
              <w:right w:val="single" w:sz="4" w:space="0" w:color="auto"/>
            </w:tcBorders>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 Kredileri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 ve Kuruluşlardan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278.291</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256.824</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 Kuruluş ve Fonlardan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1.013.746</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699.555</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1.292.037</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956.379</w:t>
            </w:r>
          </w:p>
        </w:tc>
      </w:tr>
    </w:tbl>
    <w:p>
      <w:pPr>
        <w:ind w:left="567"/>
        <w:rPr>
          <w:b/>
          <w:bCs/>
          <w:sz w:val="22"/>
          <w:szCs w:val="22"/>
        </w:rPr>
      </w:pPr>
    </w:p>
    <w:p>
      <w:pPr>
        <w:tabs>
          <w:tab w:val="left" w:pos="567"/>
        </w:tabs>
        <w:rPr>
          <w:b/>
          <w:bCs/>
          <w:sz w:val="22"/>
          <w:szCs w:val="22"/>
        </w:rPr>
      </w:pPr>
      <w:r>
        <w:rPr>
          <w:b/>
          <w:bCs/>
          <w:sz w:val="22"/>
          <w:szCs w:val="22"/>
        </w:rPr>
        <w:t>3.b)</w:t>
      </w:r>
      <w:r>
        <w:rPr>
          <w:b/>
          <w:bCs/>
          <w:sz w:val="22"/>
          <w:szCs w:val="22"/>
        </w:rPr>
        <w:tab/>
      </w:r>
      <w:r>
        <w:rPr>
          <w:b/>
          <w:bCs/>
          <w:sz w:val="22"/>
          <w:szCs w:val="22"/>
        </w:rPr>
        <w:t>Alınan kredilerin vade ayrımına göre gösterilmesi:</w:t>
      </w:r>
    </w:p>
    <w:p>
      <w:pPr>
        <w:ind w:left="567"/>
        <w:rPr>
          <w:b/>
          <w:bCs/>
          <w:sz w:val="18"/>
          <w:szCs w:val="18"/>
        </w:rPr>
      </w:pPr>
    </w:p>
    <w:tbl>
      <w:tblPr>
        <w:tblW w:w="0" w:type="auto"/>
        <w:tblInd w:w="637" w:type="dxa"/>
        <w:tblLayout w:type="fixed"/>
        <w:tblCellMar>
          <w:left w:w="70" w:type="dxa"/>
          <w:right w:w="70" w:type="dxa"/>
        </w:tblCellMar>
        <w:tblLook w:val="00A0"/>
      </w:tblPr>
      <w:tblGrid>
        <w:gridCol w:w="3544"/>
        <w:gridCol w:w="1417"/>
        <w:gridCol w:w="1418"/>
        <w:gridCol w:w="1419"/>
        <w:gridCol w:w="1417"/>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center"/>
              <w:rPr>
                <w:bCs/>
                <w:sz w:val="18"/>
                <w:szCs w:val="18"/>
              </w:rPr>
            </w:pP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127.480</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98.658</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1.164.557</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857.721</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1.292.037</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956.379</w:t>
            </w:r>
          </w:p>
        </w:tc>
      </w:tr>
    </w:tbl>
    <w:p>
      <w:pPr>
        <w:pStyle w:val="Heading4"/>
        <w:ind w:left="709" w:hanging="709"/>
        <w:rPr>
          <w:rFonts w:ascii="Times New Roman" w:hAnsi="Times New Roman"/>
          <w:sz w:val="22"/>
          <w:szCs w:val="22"/>
        </w:rPr>
      </w:pPr>
    </w:p>
    <w:p>
      <w:pPr>
        <w:ind w:left="567"/>
        <w:jc w:val="both"/>
        <w:rPr>
          <w:sz w:val="22"/>
          <w:szCs w:val="22"/>
        </w:rPr>
      </w:pPr>
    </w:p>
    <w:p>
      <w:pPr>
        <w:pStyle w:val="BodyText3"/>
        <w:tabs>
          <w:tab w:val="clear" w:pos="539"/>
          <w:tab w:val="clear" w:pos="5310"/>
          <w:tab w:val="clear" w:pos="7560"/>
          <w:tab w:val="center" w:pos="0"/>
          <w:tab w:val="left" w:pos="709"/>
        </w:tabs>
        <w:jc w:val="both"/>
        <w:rPr>
          <w:b/>
          <w:bCs/>
          <w:iCs/>
          <w:sz w:val="22"/>
          <w:szCs w:val="22"/>
        </w:rPr>
      </w:pPr>
      <w:r>
        <w:rPr>
          <w:b/>
          <w:bCs/>
          <w:sz w:val="22"/>
          <w:szCs w:val="22"/>
        </w:rPr>
        <w:t>3.</w:t>
      </w:r>
      <w:r>
        <w:rPr>
          <w:b/>
          <w:bCs/>
          <w:iCs/>
          <w:sz w:val="22"/>
          <w:szCs w:val="22"/>
        </w:rPr>
        <w:t>c)</w:t>
      </w:r>
      <w:r>
        <w:rPr>
          <w:b/>
          <w:bCs/>
          <w:iCs/>
          <w:sz w:val="22"/>
          <w:szCs w:val="22"/>
        </w:rPr>
        <w:tab/>
        <w:t>Banka’nın yükümlülüklerinin yoğunlaştığı alanlara ilişkin ilave açıklamalar:</w:t>
      </w:r>
    </w:p>
    <w:p>
      <w:pPr>
        <w:pStyle w:val="BodyText3"/>
        <w:tabs>
          <w:tab w:val="clear" w:pos="539"/>
          <w:tab w:val="clear" w:pos="5310"/>
          <w:tab w:val="clear" w:pos="7560"/>
          <w:tab w:val="center" w:pos="0"/>
          <w:tab w:val="left" w:pos="709"/>
        </w:tabs>
        <w:jc w:val="both"/>
        <w:rPr>
          <w:b/>
          <w:bCs/>
          <w:iCs/>
        </w:rPr>
      </w:pPr>
    </w:p>
    <w:p>
      <w:pPr>
        <w:pStyle w:val="BodybyBD"/>
        <w:spacing w:before="0" w:after="0"/>
        <w:ind w:left="709"/>
        <w:rPr>
          <w:noProof/>
        </w:rPr>
      </w:pPr>
      <w:r>
        <w:rPr>
          <w:noProof/>
        </w:rPr>
        <w:t>Banka mevduat kabulüne yetkili olmayıp finansal tablolarında yer alan yükümlülükler yurt içi ve yurt dışı finansal kuruluşlardan sağlanan fonlar, orta ve uzun vadeli kredilerden oluşmaktadır.</w:t>
      </w:r>
    </w:p>
    <w:p>
      <w:pPr>
        <w:pStyle w:val="BodybyBD"/>
        <w:spacing w:before="0" w:after="0"/>
        <w:ind w:left="709"/>
        <w:rPr>
          <w:noProof/>
          <w:sz w:val="16"/>
          <w:szCs w:val="16"/>
        </w:rPr>
      </w:pPr>
    </w:p>
    <w:p>
      <w:pPr>
        <w:pStyle w:val="BodybyBD"/>
        <w:spacing w:before="0" w:after="0"/>
        <w:ind w:left="709"/>
      </w:pPr>
      <w:r>
        <w:t>Yurt dışı finansman kuruluşlarından sağlanan kredilerin büyük kısmı Dünya Bankası, Avrupa Yatırım Bankası, Avrupa Konseyi Kalkınma Bankası, İslam Kalkınma Bankası ve Fransız Kalkınma Ajansından sağlanan kredilerinden oluşmaktadır. Yurt içi finansal kuruluşlardan sağlan</w:t>
      </w:r>
      <w:r>
        <w:t xml:space="preserve">an krediler ise Eximbank, Arap Türk Bankası </w:t>
      </w:r>
      <w:r>
        <w:t xml:space="preserve">gibi yurt içi </w:t>
      </w:r>
      <w:r>
        <w:t>bankalar</w:t>
      </w:r>
      <w:r>
        <w:t xml:space="preserve"> ile Hazine Müsteşarlığı kaynaklıdır.</w:t>
      </w:r>
    </w:p>
    <w:p>
      <w:pPr>
        <w:pStyle w:val="BodyText3"/>
        <w:tabs>
          <w:tab w:val="clear" w:pos="539"/>
          <w:tab w:val="clear" w:pos="5310"/>
          <w:tab w:val="clear" w:pos="7560"/>
          <w:tab w:val="center" w:pos="0"/>
          <w:tab w:val="left" w:pos="709"/>
        </w:tabs>
        <w:jc w:val="both"/>
        <w:rPr>
          <w:b/>
          <w:bCs/>
          <w:sz w:val="22"/>
          <w:szCs w:val="22"/>
        </w:rPr>
      </w:pPr>
    </w:p>
    <w:p>
      <w:pPr>
        <w:pStyle w:val="BodybyBD"/>
        <w:tabs>
          <w:tab w:val="left" w:pos="709"/>
        </w:tabs>
        <w:spacing w:before="0" w:after="0"/>
        <w:rPr>
          <w:b/>
          <w:bCs/>
        </w:rPr>
      </w:pPr>
      <w:r>
        <w:rPr>
          <w:b/>
          <w:bCs/>
        </w:rPr>
        <w:t>3.c.1)</w:t>
      </w:r>
      <w:r>
        <w:rPr>
          <w:b/>
          <w:bCs/>
        </w:rPr>
        <w:tab/>
        <w:t>Fonlara ilişkin açıklamalar:</w:t>
      </w:r>
    </w:p>
    <w:p>
      <w:pPr>
        <w:pStyle w:val="BodybyBD"/>
        <w:spacing w:before="0" w:after="0"/>
        <w:jc w:val="left"/>
        <w:rPr>
          <w:b/>
          <w:bCs/>
          <w:sz w:val="18"/>
          <w:szCs w:val="18"/>
        </w:rPr>
      </w:pPr>
    </w:p>
    <w:p>
      <w:pPr>
        <w:pStyle w:val="BodybyBD"/>
        <w:spacing w:before="0" w:after="0" w:line="240" w:lineRule="auto"/>
        <w:ind w:left="709"/>
      </w:pPr>
      <w:r>
        <w:t xml:space="preserve">Banka’nın yurt içinden sağladığı </w:t>
      </w:r>
      <w:r>
        <w:t>75.487</w:t>
      </w:r>
      <w:r>
        <w:t xml:space="preserve"> </w:t>
      </w:r>
      <w:r>
        <w:t>Bin TL</w:t>
      </w:r>
      <w:r>
        <w:t xml:space="preserve"> (31 Aralık </w:t>
      </w:r>
      <w:r>
        <w:t>2010: 91.300 Bin TL)</w:t>
      </w:r>
      <w:r>
        <w:t xml:space="preserve"> tutarındaki fonların tamamına yakını Hazine Müsteşarlığı kaynaklıdır. Bu fonun içerisinde kullanılan </w:t>
      </w:r>
      <w:r>
        <w:t>64.364</w:t>
      </w:r>
      <w:r>
        <w:t xml:space="preserve"> Bin TL </w:t>
      </w:r>
      <w:r>
        <w:t xml:space="preserve"> (31 Aralık </w:t>
      </w:r>
      <w:r>
        <w:t xml:space="preserve">2010: 78.505 Bin TL) </w:t>
      </w:r>
      <w:r>
        <w:t>tutarındaki, Hazine kaynaklarından Kıbrıs’taki yatırımcı şirketlere kullandırılan kredilerin riski Banka’ya ait değildir.</w:t>
      </w:r>
    </w:p>
    <w:p>
      <w:pPr>
        <w:pStyle w:val="BodybyBD"/>
        <w:spacing w:before="0" w:after="0" w:line="240" w:lineRule="auto"/>
        <w:ind w:left="567"/>
        <w:rPr>
          <w:b/>
          <w:bCs/>
        </w:rPr>
      </w:pPr>
    </w:p>
    <w:p>
      <w:pPr>
        <w:pStyle w:val="BodybyBD"/>
        <w:spacing w:before="0" w:after="0" w:line="240" w:lineRule="auto"/>
        <w:rPr>
          <w:b/>
          <w:bCs/>
        </w:rPr>
      </w:pPr>
      <w:r>
        <w:rPr>
          <w:b/>
          <w:bCs/>
        </w:rPr>
        <w:t>3.c.2)</w:t>
      </w:r>
      <w:r>
        <w:rPr>
          <w:b/>
          <w:bCs/>
        </w:rPr>
        <w:tab/>
        <w:t>Repo işlemlerinden sağlanan fonlara ilişkin açıklamalar:</w:t>
      </w:r>
    </w:p>
    <w:p>
      <w:pPr>
        <w:pStyle w:val="BodybyBD"/>
        <w:spacing w:before="0" w:after="0" w:line="240" w:lineRule="auto"/>
        <w:ind w:firstLine="540"/>
      </w:pPr>
    </w:p>
    <w:p>
      <w:pPr>
        <w:pStyle w:val="BodybyBD"/>
        <w:spacing w:before="0" w:after="0" w:line="240" w:lineRule="auto"/>
        <w:ind w:left="709"/>
      </w:pPr>
      <w:r>
        <w:t xml:space="preserve">Repo işlemlerinden sağlanan </w:t>
      </w:r>
      <w:r>
        <w:t>75.129</w:t>
      </w:r>
      <w:r>
        <w:t xml:space="preserve"> Bin TL’nin,</w:t>
      </w:r>
      <w:r>
        <w:t xml:space="preserve"> 74.820</w:t>
      </w:r>
      <w:r>
        <w:t xml:space="preserve"> Bin TL</w:t>
      </w:r>
      <w:r>
        <w:t xml:space="preserve">’si  T.C. Merkez Bankasına, </w:t>
      </w:r>
      <w:r>
        <w:t>geriye kalan 309</w:t>
      </w:r>
      <w:r>
        <w:t xml:space="preserve"> Bin TL (31 Aralık 2010: 335 Bin TL) gerçek ve </w:t>
      </w:r>
      <w:r>
        <w:t xml:space="preserve">tüzel kişilere aittir. </w:t>
      </w:r>
    </w:p>
    <w:p>
      <w:pPr>
        <w:ind w:left="567"/>
        <w:jc w:val="both"/>
        <w:rPr>
          <w:b/>
          <w:bCs/>
          <w:sz w:val="16"/>
          <w:szCs w:val="16"/>
        </w:rPr>
      </w:pPr>
    </w:p>
    <w:p>
      <w:pPr>
        <w:ind w:left="709" w:hanging="709"/>
        <w:jc w:val="both"/>
        <w:rPr>
          <w:b/>
          <w:bCs/>
          <w:sz w:val="22"/>
          <w:szCs w:val="22"/>
        </w:rPr>
      </w:pPr>
      <w:r>
        <w:rPr>
          <w:b/>
          <w:bCs/>
          <w:sz w:val="22"/>
          <w:szCs w:val="22"/>
        </w:rPr>
        <w:t>4.</w:t>
      </w:r>
      <w:r>
        <w:rPr>
          <w:b/>
          <w:bCs/>
          <w:sz w:val="22"/>
          <w:szCs w:val="22"/>
        </w:rPr>
        <w:tab/>
      </w:r>
      <w:r>
        <w:rPr>
          <w:b/>
          <w:bCs/>
          <w:sz w:val="22"/>
          <w:szCs w:val="22"/>
        </w:rPr>
        <w:t xml:space="preserve">Bilançonun </w:t>
      </w:r>
      <w:r>
        <w:rPr>
          <w:b/>
          <w:bCs/>
          <w:sz w:val="22"/>
          <w:szCs w:val="22"/>
        </w:rPr>
        <w:t>d</w:t>
      </w:r>
      <w:r>
        <w:rPr>
          <w:b/>
          <w:bCs/>
          <w:sz w:val="22"/>
          <w:szCs w:val="22"/>
        </w:rPr>
        <w:t xml:space="preserve">iğer </w:t>
      </w:r>
      <w:r>
        <w:rPr>
          <w:b/>
          <w:bCs/>
          <w:sz w:val="22"/>
          <w:szCs w:val="22"/>
        </w:rPr>
        <w:t>y</w:t>
      </w:r>
      <w:r>
        <w:rPr>
          <w:b/>
          <w:bCs/>
          <w:sz w:val="22"/>
          <w:szCs w:val="22"/>
        </w:rPr>
        <w:t xml:space="preserve">abancı </w:t>
      </w:r>
      <w:r>
        <w:rPr>
          <w:b/>
          <w:bCs/>
          <w:sz w:val="22"/>
          <w:szCs w:val="22"/>
        </w:rPr>
        <w:t>k</w:t>
      </w:r>
      <w:r>
        <w:rPr>
          <w:b/>
          <w:bCs/>
          <w:sz w:val="22"/>
          <w:szCs w:val="22"/>
        </w:rPr>
        <w:t xml:space="preserve">aynaklar </w:t>
      </w:r>
      <w:r>
        <w:rPr>
          <w:b/>
          <w:bCs/>
          <w:sz w:val="22"/>
          <w:szCs w:val="22"/>
        </w:rPr>
        <w:t>k</w:t>
      </w:r>
      <w:r>
        <w:rPr>
          <w:b/>
          <w:bCs/>
          <w:sz w:val="22"/>
          <w:szCs w:val="22"/>
        </w:rPr>
        <w:t>alemi</w:t>
      </w:r>
      <w:r>
        <w:rPr>
          <w:b/>
          <w:bCs/>
          <w:sz w:val="22"/>
          <w:szCs w:val="22"/>
        </w:rPr>
        <w:t>,</w:t>
      </w:r>
      <w:r>
        <w:rPr>
          <w:b/>
          <w:bCs/>
          <w:sz w:val="22"/>
          <w:szCs w:val="22"/>
        </w:rPr>
        <w:t xml:space="preserve"> </w:t>
      </w:r>
      <w:r>
        <w:rPr>
          <w:b/>
          <w:bCs/>
          <w:sz w:val="22"/>
          <w:szCs w:val="22"/>
        </w:rPr>
        <w:t>b</w:t>
      </w:r>
      <w:r>
        <w:rPr>
          <w:b/>
          <w:bCs/>
          <w:sz w:val="22"/>
          <w:szCs w:val="22"/>
        </w:rPr>
        <w:t xml:space="preserve">ilanço </w:t>
      </w:r>
      <w:r>
        <w:rPr>
          <w:b/>
          <w:bCs/>
          <w:sz w:val="22"/>
          <w:szCs w:val="22"/>
        </w:rPr>
        <w:t>t</w:t>
      </w:r>
      <w:r>
        <w:rPr>
          <w:b/>
          <w:bCs/>
          <w:sz w:val="22"/>
          <w:szCs w:val="22"/>
        </w:rPr>
        <w:t xml:space="preserve">oplamının %10’unu </w:t>
      </w:r>
      <w:r>
        <w:rPr>
          <w:b/>
          <w:bCs/>
          <w:sz w:val="22"/>
          <w:szCs w:val="22"/>
        </w:rPr>
        <w:t>a</w:t>
      </w:r>
      <w:r>
        <w:rPr>
          <w:b/>
          <w:bCs/>
          <w:sz w:val="22"/>
          <w:szCs w:val="22"/>
        </w:rPr>
        <w:t>şıyorsa</w:t>
      </w:r>
      <w:r>
        <w:rPr>
          <w:b/>
          <w:bCs/>
          <w:sz w:val="22"/>
          <w:szCs w:val="22"/>
        </w:rPr>
        <w:t>,</w:t>
      </w:r>
      <w:r>
        <w:rPr>
          <w:b/>
          <w:bCs/>
          <w:sz w:val="22"/>
          <w:szCs w:val="22"/>
        </w:rPr>
        <w:t xml:space="preserve"> </w:t>
      </w:r>
      <w:r>
        <w:rPr>
          <w:b/>
          <w:bCs/>
          <w:sz w:val="22"/>
          <w:szCs w:val="22"/>
        </w:rPr>
        <w:t>b</w:t>
      </w:r>
      <w:r>
        <w:rPr>
          <w:b/>
          <w:bCs/>
          <w:sz w:val="22"/>
          <w:szCs w:val="22"/>
        </w:rPr>
        <w:t xml:space="preserve">unların </w:t>
      </w:r>
      <w:r>
        <w:rPr>
          <w:b/>
          <w:bCs/>
          <w:sz w:val="22"/>
          <w:szCs w:val="22"/>
        </w:rPr>
        <w:t>e</w:t>
      </w:r>
      <w:r>
        <w:rPr>
          <w:b/>
          <w:bCs/>
          <w:sz w:val="22"/>
          <w:szCs w:val="22"/>
        </w:rPr>
        <w:t xml:space="preserve">n </w:t>
      </w:r>
      <w:r>
        <w:rPr>
          <w:b/>
          <w:bCs/>
          <w:sz w:val="22"/>
          <w:szCs w:val="22"/>
        </w:rPr>
        <w:t>a</w:t>
      </w:r>
      <w:r>
        <w:rPr>
          <w:b/>
          <w:bCs/>
          <w:sz w:val="22"/>
          <w:szCs w:val="22"/>
        </w:rPr>
        <w:t xml:space="preserve">z %20’sini </w:t>
      </w:r>
      <w:r>
        <w:rPr>
          <w:b/>
          <w:bCs/>
          <w:sz w:val="22"/>
          <w:szCs w:val="22"/>
        </w:rPr>
        <w:t>o</w:t>
      </w:r>
      <w:r>
        <w:rPr>
          <w:b/>
          <w:bCs/>
          <w:sz w:val="22"/>
          <w:szCs w:val="22"/>
        </w:rPr>
        <w:t xml:space="preserve">luşturan </w:t>
      </w:r>
      <w:r>
        <w:rPr>
          <w:b/>
          <w:bCs/>
          <w:sz w:val="22"/>
          <w:szCs w:val="22"/>
        </w:rPr>
        <w:t>a</w:t>
      </w:r>
      <w:r>
        <w:rPr>
          <w:b/>
          <w:bCs/>
          <w:sz w:val="22"/>
          <w:szCs w:val="22"/>
        </w:rPr>
        <w:t xml:space="preserve">lt </w:t>
      </w:r>
      <w:r>
        <w:rPr>
          <w:b/>
          <w:bCs/>
          <w:sz w:val="22"/>
          <w:szCs w:val="22"/>
        </w:rPr>
        <w:t>h</w:t>
      </w:r>
      <w:r>
        <w:rPr>
          <w:b/>
          <w:bCs/>
          <w:sz w:val="22"/>
          <w:szCs w:val="22"/>
        </w:rPr>
        <w:t xml:space="preserve">esapların </w:t>
      </w:r>
      <w:r>
        <w:rPr>
          <w:b/>
          <w:bCs/>
          <w:sz w:val="22"/>
          <w:szCs w:val="22"/>
        </w:rPr>
        <w:t>i</w:t>
      </w:r>
      <w:r>
        <w:rPr>
          <w:b/>
          <w:bCs/>
          <w:sz w:val="22"/>
          <w:szCs w:val="22"/>
        </w:rPr>
        <w:t xml:space="preserve">sim ve </w:t>
      </w:r>
      <w:r>
        <w:rPr>
          <w:b/>
          <w:bCs/>
          <w:sz w:val="22"/>
          <w:szCs w:val="22"/>
        </w:rPr>
        <w:t>t</w:t>
      </w:r>
      <w:r>
        <w:rPr>
          <w:b/>
          <w:bCs/>
          <w:sz w:val="22"/>
          <w:szCs w:val="22"/>
        </w:rPr>
        <w:t>utarları:</w:t>
      </w:r>
    </w:p>
    <w:p>
      <w:pPr>
        <w:ind w:left="567"/>
        <w:jc w:val="both"/>
        <w:rPr>
          <w:b/>
          <w:bCs/>
          <w:sz w:val="22"/>
          <w:szCs w:val="22"/>
        </w:rPr>
      </w:pPr>
    </w:p>
    <w:p>
      <w:pPr>
        <w:ind w:firstLine="709"/>
        <w:jc w:val="both"/>
        <w:rPr>
          <w:sz w:val="22"/>
          <w:szCs w:val="22"/>
        </w:rPr>
      </w:pPr>
      <w:r>
        <w:rPr>
          <w:rFonts w:eastAsia="Arial Unicode MS"/>
          <w:sz w:val="22"/>
          <w:szCs w:val="22"/>
        </w:rPr>
        <w:t>Bilançonun diğer yabancı kaynaklar kalemi</w:t>
      </w:r>
      <w:r>
        <w:rPr>
          <w:rFonts w:eastAsia="Arial Unicode MS"/>
          <w:sz w:val="22"/>
          <w:szCs w:val="22"/>
        </w:rPr>
        <w:t>,</w:t>
      </w:r>
      <w:r>
        <w:rPr>
          <w:rFonts w:eastAsia="Arial Unicode MS"/>
          <w:sz w:val="22"/>
          <w:szCs w:val="22"/>
        </w:rPr>
        <w:t xml:space="preserve"> bilanço toplamının %10’unu aşmamaktadır.</w:t>
      </w:r>
    </w:p>
    <w:p>
      <w:pPr>
        <w:ind w:left="567"/>
        <w:jc w:val="both"/>
        <w:rPr>
          <w:sz w:val="22"/>
          <w:szCs w:val="22"/>
        </w:rPr>
      </w:pPr>
    </w:p>
    <w:p>
      <w:pPr>
        <w:tabs>
          <w:tab w:val="left" w:pos="-2160"/>
        </w:tabs>
        <w:rPr>
          <w:b/>
          <w:bCs/>
          <w:sz w:val="22"/>
          <w:szCs w:val="22"/>
        </w:rPr>
      </w:pPr>
      <w:r>
        <w:rPr>
          <w:b/>
          <w:bCs/>
          <w:sz w:val="22"/>
          <w:szCs w:val="22"/>
        </w:rPr>
        <w:t>5.</w:t>
      </w:r>
      <w:r>
        <w:rPr>
          <w:b/>
          <w:bCs/>
          <w:sz w:val="22"/>
          <w:szCs w:val="22"/>
        </w:rPr>
        <w:tab/>
      </w:r>
      <w:r>
        <w:rPr>
          <w:b/>
          <w:bCs/>
          <w:sz w:val="22"/>
          <w:szCs w:val="22"/>
        </w:rPr>
        <w:t>Kiralama işlemlerinden borçlara ilişkin bilgiler (Net):</w:t>
      </w:r>
    </w:p>
    <w:p>
      <w:pPr>
        <w:ind w:left="567"/>
        <w:jc w:val="both"/>
        <w:rPr>
          <w:b/>
          <w:bCs/>
          <w:sz w:val="16"/>
          <w:szCs w:val="16"/>
        </w:rPr>
      </w:pPr>
    </w:p>
    <w:p>
      <w:pPr>
        <w:pStyle w:val="1tipi"/>
        <w:tabs>
          <w:tab w:val="clear" w:pos="1134"/>
        </w:tabs>
        <w:ind w:left="709"/>
        <w:rPr>
          <w:rFonts w:ascii="Times New Roman" w:hAnsi="Times New Roman" w:cs="Times New Roman"/>
          <w:sz w:val="22"/>
          <w:szCs w:val="22"/>
          <w:lang w:val="tr-TR"/>
        </w:rPr>
      </w:pPr>
      <w:r>
        <w:rPr>
          <w:rFonts w:ascii="Times New Roman" w:hAnsi="Times New Roman" w:cs="Times New Roman"/>
          <w:sz w:val="22"/>
          <w:szCs w:val="22"/>
          <w:lang w:val="tr-TR"/>
        </w:rPr>
        <w:t>Banka’nın kir</w:t>
      </w:r>
      <w:r>
        <w:rPr>
          <w:rFonts w:ascii="Times New Roman" w:hAnsi="Times New Roman" w:cs="Times New Roman"/>
          <w:sz w:val="22"/>
          <w:szCs w:val="22"/>
          <w:lang w:val="tr-TR"/>
        </w:rPr>
        <w:t xml:space="preserve">alama işlemlerinden doğan borcu </w:t>
      </w:r>
      <w:r>
        <w:rPr>
          <w:rFonts w:ascii="Times New Roman" w:hAnsi="Times New Roman" w:cs="Times New Roman"/>
          <w:sz w:val="22"/>
          <w:szCs w:val="22"/>
          <w:lang w:val="tr-TR"/>
        </w:rPr>
        <w:t>bulunmamaktadır.</w:t>
      </w:r>
    </w:p>
    <w:p>
      <w:pPr>
        <w:rPr>
          <w:b/>
          <w:bCs/>
          <w:sz w:val="22"/>
          <w:szCs w:val="22"/>
        </w:rPr>
      </w:pPr>
      <w:r>
        <w:rPr>
          <w:b/>
          <w:bCs/>
          <w:sz w:val="22"/>
          <w:szCs w:val="22"/>
        </w:rPr>
        <w:br w:type="page"/>
      </w:r>
    </w:p>
    <w:p>
      <w:pPr>
        <w:ind w:left="567"/>
        <w:jc w:val="both"/>
        <w:rPr>
          <w:b/>
          <w:bCs/>
          <w:sz w:val="22"/>
          <w:szCs w:val="22"/>
        </w:rPr>
      </w:pPr>
    </w:p>
    <w:p>
      <w:pPr>
        <w:pStyle w:val="Heading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b/>
          <w:bCs/>
          <w:sz w:val="22"/>
          <w:szCs w:val="22"/>
        </w:rPr>
      </w:pPr>
    </w:p>
    <w:p>
      <w:pPr>
        <w:jc w:val="both"/>
        <w:rPr>
          <w:b/>
          <w:bCs/>
          <w:sz w:val="22"/>
          <w:szCs w:val="22"/>
        </w:rPr>
      </w:pPr>
      <w:r>
        <w:rPr>
          <w:b/>
          <w:bCs/>
          <w:sz w:val="22"/>
          <w:szCs w:val="22"/>
        </w:rPr>
        <w:t>6.</w:t>
      </w:r>
      <w:r>
        <w:rPr>
          <w:b/>
          <w:bCs/>
          <w:sz w:val="22"/>
          <w:szCs w:val="22"/>
        </w:rPr>
        <w:tab/>
      </w:r>
      <w:r>
        <w:rPr>
          <w:b/>
          <w:bCs/>
          <w:sz w:val="22"/>
          <w:szCs w:val="22"/>
        </w:rPr>
        <w:t>Riskten korunma amaçlı türev finansal borçlara ilişkin bilgiler:</w:t>
      </w:r>
    </w:p>
    <w:p>
      <w:pPr>
        <w:pStyle w:val="BodyText"/>
        <w:ind w:left="567"/>
        <w:rPr>
          <w:sz w:val="22"/>
          <w:szCs w:val="22"/>
        </w:rPr>
      </w:pPr>
    </w:p>
    <w:p>
      <w:pPr>
        <w:pStyle w:val="BodyText"/>
        <w:tabs>
          <w:tab w:val="clear" w:pos="0"/>
          <w:tab w:val="clear" w:pos="567"/>
          <w:tab w:val="clear" w:pos="720"/>
        </w:tabs>
        <w:ind w:left="709"/>
        <w:rPr>
          <w:sz w:val="22"/>
          <w:szCs w:val="22"/>
        </w:rPr>
      </w:pPr>
      <w:r>
        <w:rPr>
          <w:sz w:val="22"/>
          <w:szCs w:val="22"/>
        </w:rPr>
        <w:t>Banka’nın riskten korunma amaçlı türev finansal borçları b</w:t>
      </w:r>
      <w:r>
        <w:rPr>
          <w:sz w:val="22"/>
          <w:szCs w:val="22"/>
        </w:rPr>
        <w:t>ulunmamaktadır.</w:t>
      </w:r>
    </w:p>
    <w:p>
      <w:pPr>
        <w:pStyle w:val="BodyText"/>
        <w:ind w:left="567"/>
        <w:rPr>
          <w:sz w:val="22"/>
          <w:szCs w:val="22"/>
        </w:rPr>
      </w:pPr>
    </w:p>
    <w:p>
      <w:pPr>
        <w:tabs>
          <w:tab w:val="left" w:pos="-2160"/>
        </w:tabs>
        <w:rPr>
          <w:b/>
          <w:bCs/>
          <w:sz w:val="22"/>
          <w:szCs w:val="22"/>
        </w:rPr>
      </w:pPr>
      <w:r>
        <w:rPr>
          <w:b/>
          <w:bCs/>
          <w:sz w:val="22"/>
          <w:szCs w:val="22"/>
        </w:rPr>
        <w:t>7.</w:t>
      </w:r>
      <w:r>
        <w:rPr>
          <w:b/>
          <w:bCs/>
          <w:sz w:val="22"/>
          <w:szCs w:val="22"/>
        </w:rPr>
        <w:tab/>
      </w:r>
      <w:r>
        <w:rPr>
          <w:b/>
          <w:bCs/>
          <w:sz w:val="22"/>
          <w:szCs w:val="22"/>
        </w:rPr>
        <w:t>Karşılıklara İlişkin Açıklamalar:</w:t>
      </w:r>
    </w:p>
    <w:p>
      <w:pPr>
        <w:tabs>
          <w:tab w:val="left" w:pos="-2160"/>
          <w:tab w:val="left" w:pos="720"/>
        </w:tabs>
        <w:rPr>
          <w:b/>
          <w:bCs/>
          <w:sz w:val="22"/>
          <w:szCs w:val="22"/>
        </w:rPr>
      </w:pPr>
    </w:p>
    <w:p>
      <w:pPr>
        <w:tabs>
          <w:tab w:val="left" w:pos="-2160"/>
        </w:tabs>
        <w:rPr>
          <w:b/>
          <w:bCs/>
          <w:sz w:val="22"/>
          <w:szCs w:val="22"/>
        </w:rPr>
      </w:pPr>
      <w:r>
        <w:rPr>
          <w:b/>
          <w:bCs/>
          <w:sz w:val="22"/>
          <w:szCs w:val="22"/>
        </w:rPr>
        <w:t>7.a)</w:t>
      </w:r>
      <w:r>
        <w:rPr>
          <w:b/>
          <w:bCs/>
          <w:sz w:val="22"/>
          <w:szCs w:val="22"/>
        </w:rPr>
        <w:tab/>
      </w:r>
      <w:r>
        <w:rPr>
          <w:b/>
          <w:bCs/>
          <w:sz w:val="22"/>
          <w:szCs w:val="22"/>
        </w:rPr>
        <w:t>Genel karşılıklara ilişkin bilgiler:</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tblPr>
      <w:tblGrid>
        <w:gridCol w:w="4395"/>
        <w:gridCol w:w="2268"/>
        <w:gridCol w:w="2409"/>
      </w:tblGrid>
      <w:tr>
        <w:trPr>
          <w:trHeight w:val="255"/>
        </w:trPr>
        <w:tc>
          <w:tcPr>
            <w:tcW w:w="4395"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Genel Karşılıklar</w:t>
            </w:r>
          </w:p>
        </w:tc>
        <w:tc>
          <w:tcPr>
            <w:tcW w:w="226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14.016</w:t>
            </w:r>
          </w:p>
        </w:tc>
        <w:tc>
          <w:tcPr>
            <w:tcW w:w="240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I. Grup Kredi ve Alacaklar İçin Ayrılanlar(*)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12.033</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4.045</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II. Grup Kredi ve Alacaklar İçin Ayrılanlar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1.191</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1.356</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Gayrinakdi Krediler İçin Ayrılanlar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176</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616</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289</w:t>
            </w:r>
          </w:p>
        </w:tc>
      </w:tr>
    </w:tbl>
    <w:p>
      <w:pPr>
        <w:tabs>
          <w:tab w:val="left" w:pos="-2160"/>
          <w:tab w:val="left" w:pos="540"/>
        </w:tabs>
        <w:rPr>
          <w:b/>
          <w:bCs/>
          <w:sz w:val="16"/>
          <w:szCs w:val="16"/>
        </w:rPr>
      </w:pPr>
    </w:p>
    <w:p>
      <w:pPr>
        <w:autoSpaceDE w:val="0"/>
        <w:autoSpaceDN w:val="0"/>
        <w:adjustRightInd w:val="0"/>
        <w:ind w:left="993" w:hanging="284"/>
        <w:jc w:val="both"/>
        <w:rPr>
          <w:rFonts w:eastAsia="Calibri"/>
          <w:sz w:val="18"/>
          <w:szCs w:val="18"/>
          <w:lang w:eastAsia="en-US"/>
        </w:rPr>
      </w:pPr>
      <w:r>
        <w:rPr>
          <w:rFonts w:eastAsia="Calibri"/>
          <w:sz w:val="18"/>
          <w:szCs w:val="18"/>
          <w:lang w:eastAsia="en-US"/>
        </w:rPr>
        <w:t>(*)</w:t>
      </w:r>
      <w:r>
        <w:rPr>
          <w:rFonts w:eastAsia="Calibri"/>
          <w:sz w:val="18"/>
          <w:szCs w:val="18"/>
          <w:lang w:eastAsia="en-US"/>
        </w:rPr>
        <w:tab/>
        <w:t>BDDK, “Bankalarca Kredilerin ve Diğer Alacakların Niteliklerinin Belirlenmesi ve Bunlar İçin Ayrılacak Karşılıklara ilişkin Usul ve Esaslar Hakkında Yönetmelik”in Geçici 4. Maddesi  (Eklenen madde: RG-6/3/2010-27513) kapsamında bankaların, 6 Mart 2010 ve 1 Mart 2011 tarihleri arasında kullandırdığı krediler için genel karşılık oranının yüzde sıfır olarak uygulayabilmesine izin vermiş, 10.02.2011 tarih ve 4065 sayılı Kararı ile de u</w:t>
      </w:r>
      <w:r>
        <w:rPr>
          <w:rFonts w:eastAsia="Calibri"/>
          <w:sz w:val="18"/>
          <w:szCs w:val="18"/>
          <w:lang w:eastAsia="en-US"/>
        </w:rPr>
        <w:t>ygulamayı sona erdirmiştir. C</w:t>
      </w:r>
      <w:r>
        <w:rPr>
          <w:rFonts w:eastAsia="Calibri"/>
          <w:sz w:val="18"/>
          <w:szCs w:val="18"/>
          <w:lang w:eastAsia="en-US"/>
        </w:rPr>
        <w:t>ari</w:t>
      </w:r>
      <w:r>
        <w:rPr>
          <w:rFonts w:eastAsia="Calibri"/>
          <w:sz w:val="18"/>
          <w:szCs w:val="18"/>
          <w:lang w:eastAsia="en-US"/>
        </w:rPr>
        <w:t xml:space="preserve"> dönemde ayrılan genel karşılık tutarının 5.692 Bin TL’lik kısmı, geçici uygulama döneminde ayrılmayan ve Banka tarafından cari dönemde ayrılan karşılık tutarından oluşmaktadır.</w:t>
      </w:r>
    </w:p>
    <w:p>
      <w:pPr>
        <w:tabs>
          <w:tab w:val="left" w:pos="-2160"/>
          <w:tab w:val="left" w:pos="540"/>
        </w:tabs>
        <w:rPr>
          <w:b/>
          <w:bCs/>
          <w:sz w:val="16"/>
          <w:szCs w:val="16"/>
        </w:rPr>
      </w:pPr>
    </w:p>
    <w:p>
      <w:pPr>
        <w:tabs>
          <w:tab w:val="left" w:pos="-2160"/>
        </w:tabs>
        <w:rPr>
          <w:b/>
          <w:bCs/>
          <w:sz w:val="22"/>
          <w:szCs w:val="22"/>
        </w:rPr>
      </w:pPr>
      <w:r>
        <w:rPr>
          <w:b/>
          <w:bCs/>
          <w:sz w:val="22"/>
          <w:szCs w:val="22"/>
        </w:rPr>
        <w:t>7.b)</w:t>
      </w:r>
      <w:r>
        <w:rPr>
          <w:b/>
          <w:bCs/>
          <w:sz w:val="22"/>
          <w:szCs w:val="22"/>
        </w:rPr>
        <w:tab/>
      </w:r>
      <w:r>
        <w:rPr>
          <w:b/>
          <w:bCs/>
          <w:sz w:val="22"/>
          <w:szCs w:val="22"/>
        </w:rPr>
        <w:t>Dövize endeksli krediler ve finansal kiralama alacakları anapara kur azalış karşılıkları:</w:t>
      </w:r>
    </w:p>
    <w:p>
      <w:pPr>
        <w:tabs>
          <w:tab w:val="left" w:pos="-2160"/>
          <w:tab w:val="left" w:pos="720"/>
        </w:tabs>
        <w:ind w:left="567"/>
        <w:rPr>
          <w:b/>
          <w:bCs/>
          <w:sz w:val="22"/>
          <w:szCs w:val="22"/>
        </w:rPr>
      </w:pPr>
    </w:p>
    <w:p>
      <w:pPr>
        <w:ind w:left="709"/>
        <w:jc w:val="both"/>
        <w:rPr>
          <w:rFonts w:eastAsia="Arial Unicode MS"/>
          <w:bCs/>
          <w:sz w:val="22"/>
          <w:szCs w:val="22"/>
        </w:rPr>
      </w:pPr>
      <w:r>
        <w:rPr>
          <w:rFonts w:eastAsia="Arial Unicode MS"/>
          <w:bCs/>
          <w:sz w:val="22"/>
          <w:szCs w:val="22"/>
        </w:rPr>
        <w:t xml:space="preserve">Dövize endeksli krediler ve finansal kiralama alacakları anapara </w:t>
      </w:r>
      <w:r>
        <w:rPr>
          <w:rFonts w:eastAsia="Arial Unicode MS"/>
          <w:bCs/>
          <w:sz w:val="22"/>
          <w:szCs w:val="22"/>
        </w:rPr>
        <w:t xml:space="preserve">kur azalış </w:t>
      </w:r>
      <w:r>
        <w:rPr>
          <w:rFonts w:eastAsia="Arial Unicode MS"/>
          <w:bCs/>
          <w:sz w:val="22"/>
          <w:szCs w:val="22"/>
        </w:rPr>
        <w:t xml:space="preserve">karşılığı bulunmamaktadır. </w:t>
      </w:r>
    </w:p>
    <w:p>
      <w:pPr>
        <w:tabs>
          <w:tab w:val="left" w:pos="-2160"/>
          <w:tab w:val="left" w:pos="720"/>
        </w:tabs>
        <w:ind w:left="567"/>
        <w:rPr>
          <w:sz w:val="22"/>
          <w:szCs w:val="22"/>
        </w:rPr>
      </w:pPr>
    </w:p>
    <w:p>
      <w:pPr>
        <w:tabs>
          <w:tab w:val="left" w:pos="-2160"/>
        </w:tabs>
        <w:rPr>
          <w:b/>
          <w:bCs/>
          <w:sz w:val="22"/>
          <w:szCs w:val="22"/>
        </w:rPr>
      </w:pPr>
      <w:r>
        <w:rPr>
          <w:b/>
          <w:bCs/>
          <w:sz w:val="22"/>
          <w:szCs w:val="22"/>
        </w:rPr>
        <w:t>7.c)</w:t>
      </w:r>
      <w:r>
        <w:rPr>
          <w:b/>
          <w:bCs/>
          <w:sz w:val="22"/>
          <w:szCs w:val="22"/>
        </w:rPr>
        <w:tab/>
      </w:r>
      <w:r>
        <w:rPr>
          <w:b/>
          <w:bCs/>
          <w:sz w:val="22"/>
          <w:szCs w:val="22"/>
        </w:rPr>
        <w:t>Tazmin edilmemiş ve nakde dönüşmemiş gayrinakdi krediler özel karşılıkları:</w:t>
      </w:r>
    </w:p>
    <w:p>
      <w:pPr>
        <w:tabs>
          <w:tab w:val="left" w:pos="-2160"/>
          <w:tab w:val="left" w:pos="720"/>
        </w:tabs>
        <w:ind w:left="567"/>
        <w:rPr>
          <w:b/>
          <w:bCs/>
          <w:sz w:val="16"/>
          <w:szCs w:val="16"/>
        </w:rPr>
      </w:pPr>
    </w:p>
    <w:p>
      <w:pPr>
        <w:tabs>
          <w:tab w:val="left" w:pos="-2160"/>
        </w:tabs>
        <w:ind w:left="709"/>
        <w:rPr>
          <w:sz w:val="22"/>
          <w:szCs w:val="22"/>
        </w:rPr>
      </w:pPr>
      <w:r>
        <w:rPr>
          <w:sz w:val="22"/>
          <w:szCs w:val="22"/>
        </w:rPr>
        <w:t>Tazmin edilmemiş ve nakde dönüşmemiş gayrinakdi krediler özel karşılığı b</w:t>
      </w:r>
      <w:r>
        <w:rPr>
          <w:sz w:val="22"/>
          <w:szCs w:val="22"/>
        </w:rPr>
        <w:t>ulunmamaktadır.</w:t>
      </w:r>
    </w:p>
    <w:p>
      <w:pPr>
        <w:tabs>
          <w:tab w:val="left" w:pos="-2160"/>
          <w:tab w:val="left" w:pos="720"/>
        </w:tabs>
        <w:ind w:left="567"/>
        <w:rPr>
          <w:sz w:val="22"/>
          <w:szCs w:val="22"/>
        </w:rPr>
      </w:pPr>
    </w:p>
    <w:p>
      <w:pPr>
        <w:tabs>
          <w:tab w:val="left" w:pos="-2160"/>
        </w:tabs>
        <w:rPr>
          <w:b/>
          <w:bCs/>
          <w:sz w:val="22"/>
          <w:szCs w:val="22"/>
        </w:rPr>
      </w:pPr>
      <w:r>
        <w:rPr>
          <w:b/>
          <w:bCs/>
          <w:sz w:val="22"/>
          <w:szCs w:val="22"/>
        </w:rPr>
        <w:t>7.ç)</w:t>
      </w:r>
      <w:r>
        <w:rPr>
          <w:b/>
          <w:bCs/>
          <w:sz w:val="22"/>
          <w:szCs w:val="22"/>
        </w:rPr>
        <w:tab/>
      </w:r>
      <w:r>
        <w:rPr>
          <w:b/>
          <w:bCs/>
          <w:sz w:val="22"/>
          <w:szCs w:val="22"/>
        </w:rPr>
        <w:t>Çalışan hakları</w:t>
      </w:r>
      <w:r>
        <w:rPr>
          <w:b/>
          <w:bCs/>
          <w:sz w:val="22"/>
          <w:szCs w:val="22"/>
        </w:rPr>
        <w:t xml:space="preserve"> karşılıklar</w:t>
      </w:r>
      <w:r>
        <w:rPr>
          <w:b/>
          <w:bCs/>
          <w:sz w:val="22"/>
          <w:szCs w:val="22"/>
        </w:rPr>
        <w:t>ı</w:t>
      </w:r>
      <w:r>
        <w:rPr>
          <w:b/>
          <w:bCs/>
          <w:sz w:val="22"/>
          <w:szCs w:val="22"/>
        </w:rPr>
        <w:t>:</w:t>
      </w:r>
    </w:p>
    <w:p>
      <w:pPr>
        <w:tabs>
          <w:tab w:val="left" w:pos="-2160"/>
          <w:tab w:val="left" w:pos="720"/>
        </w:tabs>
        <w:ind w:left="567"/>
        <w:rPr>
          <w:b/>
          <w:bCs/>
          <w:sz w:val="22"/>
          <w:szCs w:val="22"/>
        </w:rPr>
      </w:pPr>
    </w:p>
    <w:p>
      <w:pPr>
        <w:pStyle w:val="EndnoteText"/>
        <w:ind w:left="709"/>
        <w:jc w:val="both"/>
        <w:rPr>
          <w:sz w:val="22"/>
          <w:szCs w:val="22"/>
        </w:rPr>
      </w:pPr>
      <w:r>
        <w:rPr>
          <w:sz w:val="22"/>
          <w:szCs w:val="22"/>
        </w:rPr>
        <w:t xml:space="preserve">Banka çalışan hakları karşılığını 19 Sayılı Türkiye Muhasebe Standartları’nda belirtilen hükümlerine göre hesaplayıp </w:t>
      </w:r>
      <w:r>
        <w:rPr>
          <w:sz w:val="22"/>
          <w:szCs w:val="22"/>
        </w:rPr>
        <w:t xml:space="preserve">finansal </w:t>
      </w:r>
      <w:r>
        <w:rPr>
          <w:sz w:val="22"/>
          <w:szCs w:val="22"/>
        </w:rPr>
        <w:t>tablolarına yansıtmıştır.</w:t>
      </w:r>
    </w:p>
    <w:p>
      <w:pPr>
        <w:pStyle w:val="EndnoteText"/>
        <w:ind w:left="567"/>
        <w:jc w:val="both"/>
        <w:rPr>
          <w:sz w:val="22"/>
          <w:szCs w:val="22"/>
        </w:rPr>
      </w:pPr>
    </w:p>
    <w:p>
      <w:pPr>
        <w:tabs>
          <w:tab w:val="left" w:pos="-2160"/>
        </w:tabs>
        <w:ind w:left="709"/>
        <w:jc w:val="both"/>
        <w:rPr>
          <w:sz w:val="22"/>
          <w:szCs w:val="22"/>
        </w:rPr>
      </w:pPr>
      <w:r>
        <w:rPr>
          <w:sz w:val="22"/>
          <w:szCs w:val="22"/>
        </w:rPr>
        <w:t>Banka</w:t>
      </w:r>
      <w:r>
        <w:rPr>
          <w:sz w:val="22"/>
          <w:szCs w:val="22"/>
        </w:rPr>
        <w:t>,</w:t>
      </w:r>
      <w:r>
        <w:rPr>
          <w:sz w:val="22"/>
          <w:szCs w:val="22"/>
        </w:rPr>
        <w:t xml:space="preserve"> </w:t>
      </w:r>
      <w:r>
        <w:rPr>
          <w:sz w:val="22"/>
          <w:szCs w:val="22"/>
        </w:rPr>
        <w:t>30 Haziran</w:t>
      </w:r>
      <w:r>
        <w:rPr>
          <w:sz w:val="22"/>
          <w:szCs w:val="22"/>
        </w:rPr>
        <w:t xml:space="preserve"> 20</w:t>
      </w:r>
      <w:r>
        <w:rPr>
          <w:sz w:val="22"/>
          <w:szCs w:val="22"/>
        </w:rPr>
        <w:t>1</w:t>
      </w:r>
      <w:r>
        <w:rPr>
          <w:sz w:val="22"/>
          <w:szCs w:val="22"/>
        </w:rPr>
        <w:t>1</w:t>
      </w:r>
      <w:r>
        <w:rPr>
          <w:sz w:val="22"/>
          <w:szCs w:val="22"/>
        </w:rPr>
        <w:t xml:space="preserve"> tarihi itibarıyla </w:t>
      </w:r>
      <w:r>
        <w:rPr>
          <w:sz w:val="22"/>
          <w:szCs w:val="22"/>
        </w:rPr>
        <w:t>19.</w:t>
      </w:r>
      <w:r>
        <w:rPr>
          <w:sz w:val="22"/>
          <w:szCs w:val="22"/>
        </w:rPr>
        <w:t>345</w:t>
      </w:r>
      <w:r>
        <w:rPr>
          <w:sz w:val="22"/>
          <w:szCs w:val="22"/>
        </w:rPr>
        <w:t xml:space="preserve"> Bin TL </w:t>
      </w:r>
      <w:r>
        <w:rPr>
          <w:sz w:val="22"/>
          <w:szCs w:val="22"/>
        </w:rPr>
        <w:t xml:space="preserve">(31 Aralık </w:t>
      </w:r>
      <w:r>
        <w:rPr>
          <w:sz w:val="22"/>
          <w:szCs w:val="22"/>
        </w:rPr>
        <w:t xml:space="preserve">2010: 18.020 Bin TL) </w:t>
      </w:r>
      <w:r>
        <w:rPr>
          <w:sz w:val="22"/>
          <w:szCs w:val="22"/>
        </w:rPr>
        <w:t>tutarında çalı</w:t>
      </w:r>
      <w:r>
        <w:rPr>
          <w:sz w:val="22"/>
          <w:szCs w:val="22"/>
        </w:rPr>
        <w:t>şan hakları karşılığı ayırmıştır.</w:t>
      </w:r>
    </w:p>
    <w:p>
      <w:pPr>
        <w:rPr>
          <w:b/>
          <w:bCs/>
          <w:sz w:val="22"/>
          <w:szCs w:val="22"/>
        </w:rPr>
      </w:pPr>
      <w:r>
        <w:rPr>
          <w:b/>
          <w:bCs/>
          <w:sz w:val="22"/>
          <w:szCs w:val="22"/>
        </w:rPr>
        <w:br w:type="page"/>
      </w:r>
    </w:p>
    <w:p>
      <w:pPr>
        <w:rPr>
          <w:b/>
          <w:bCs/>
          <w:sz w:val="22"/>
          <w:szCs w:val="22"/>
        </w:rPr>
      </w:pPr>
    </w:p>
    <w:p>
      <w:pPr>
        <w:pStyle w:val="Heading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rPr>
          <w:b/>
          <w:bCs/>
          <w:sz w:val="22"/>
          <w:szCs w:val="22"/>
        </w:rPr>
      </w:pPr>
    </w:p>
    <w:p>
      <w:pPr>
        <w:rPr>
          <w:b/>
          <w:bCs/>
          <w:sz w:val="22"/>
          <w:szCs w:val="22"/>
        </w:rPr>
      </w:pPr>
      <w:r>
        <w:rPr>
          <w:b/>
          <w:bCs/>
          <w:sz w:val="22"/>
          <w:szCs w:val="22"/>
        </w:rPr>
        <w:t>8.</w:t>
      </w:r>
      <w:r>
        <w:rPr>
          <w:b/>
          <w:bCs/>
          <w:sz w:val="22"/>
          <w:szCs w:val="22"/>
        </w:rPr>
        <w:tab/>
      </w:r>
      <w:r>
        <w:rPr>
          <w:b/>
          <w:bCs/>
          <w:sz w:val="22"/>
          <w:szCs w:val="22"/>
        </w:rPr>
        <w:t xml:space="preserve">Vergi borcuna ilişkin açıklamalar: </w:t>
      </w:r>
    </w:p>
    <w:p>
      <w:pPr>
        <w:tabs>
          <w:tab w:val="left" w:pos="-2160"/>
          <w:tab w:val="left" w:pos="426"/>
        </w:tabs>
        <w:rPr>
          <w:b/>
          <w:bCs/>
          <w:sz w:val="22"/>
          <w:szCs w:val="22"/>
        </w:rPr>
      </w:pPr>
    </w:p>
    <w:p>
      <w:pPr>
        <w:tabs>
          <w:tab w:val="left" w:pos="-2160"/>
        </w:tabs>
        <w:rPr>
          <w:b/>
          <w:bCs/>
          <w:sz w:val="22"/>
          <w:szCs w:val="22"/>
        </w:rPr>
      </w:pPr>
      <w:r>
        <w:rPr>
          <w:b/>
          <w:bCs/>
          <w:sz w:val="22"/>
          <w:szCs w:val="22"/>
        </w:rPr>
        <w:t>8.a)</w:t>
      </w:r>
      <w:r>
        <w:rPr>
          <w:b/>
          <w:bCs/>
          <w:sz w:val="22"/>
          <w:szCs w:val="22"/>
        </w:rPr>
        <w:tab/>
      </w:r>
      <w:r>
        <w:rPr>
          <w:b/>
          <w:bCs/>
          <w:sz w:val="22"/>
          <w:szCs w:val="22"/>
        </w:rPr>
        <w:t>Cari Vergi Borcu:</w:t>
      </w:r>
    </w:p>
    <w:p>
      <w:pPr>
        <w:tabs>
          <w:tab w:val="left" w:pos="-2160"/>
          <w:tab w:val="left" w:pos="426"/>
        </w:tabs>
        <w:rPr>
          <w:b/>
          <w:bCs/>
          <w:sz w:val="22"/>
          <w:szCs w:val="22"/>
        </w:rPr>
      </w:pPr>
    </w:p>
    <w:p>
      <w:pPr>
        <w:tabs>
          <w:tab w:val="left" w:pos="-2160"/>
        </w:tabs>
        <w:rPr>
          <w:b/>
          <w:bCs/>
          <w:sz w:val="22"/>
          <w:szCs w:val="22"/>
        </w:rPr>
      </w:pPr>
      <w:r>
        <w:rPr>
          <w:b/>
          <w:bCs/>
          <w:sz w:val="22"/>
          <w:szCs w:val="22"/>
        </w:rPr>
        <w:t>8.a.1)</w:t>
      </w:r>
      <w:r>
        <w:rPr>
          <w:b/>
          <w:bCs/>
          <w:sz w:val="22"/>
          <w:szCs w:val="22"/>
        </w:rPr>
        <w:tab/>
      </w:r>
      <w:r>
        <w:rPr>
          <w:b/>
          <w:bCs/>
          <w:sz w:val="22"/>
          <w:szCs w:val="22"/>
        </w:rPr>
        <w:t>Vergi</w:t>
      </w:r>
      <w:r>
        <w:rPr>
          <w:b/>
          <w:bCs/>
          <w:sz w:val="22"/>
          <w:szCs w:val="22"/>
        </w:rPr>
        <w:t xml:space="preserve"> karşılığına ilişkin bilgiler:</w:t>
      </w:r>
    </w:p>
    <w:p>
      <w:pPr>
        <w:tabs>
          <w:tab w:val="left" w:pos="-2160"/>
          <w:tab w:val="left" w:pos="6575"/>
        </w:tabs>
        <w:ind w:left="567"/>
        <w:rPr>
          <w:b/>
          <w:bCs/>
          <w:sz w:val="22"/>
          <w:szCs w:val="22"/>
        </w:rPr>
      </w:pPr>
      <w:r>
        <w:rPr>
          <w:b/>
          <w:bCs/>
          <w:sz w:val="22"/>
          <w:szCs w:val="22"/>
        </w:rPr>
        <w:tab/>
      </w:r>
    </w:p>
    <w:tbl>
      <w:tblPr>
        <w:tblW w:w="907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1559"/>
        <w:gridCol w:w="1418"/>
        <w:gridCol w:w="1275"/>
        <w:gridCol w:w="1276"/>
      </w:tblGrid>
      <w:tr>
        <w:trPr>
          <w:cantSplit/>
          <w:trHeight w:val="255"/>
        </w:trPr>
        <w:tc>
          <w:tcPr>
            <w:tcW w:w="3544" w:type="dxa"/>
            <w:vMerge w:val="restart"/>
            <w:shd w:val="clear" w:color="auto" w:fill="FFFFFF"/>
            <w:vAlign w:val="bottom"/>
          </w:tcPr>
          <w:p>
            <w:pPr>
              <w:pStyle w:val="EndnoteText"/>
              <w:keepNext/>
              <w:keepLines/>
              <w:rPr>
                <w:sz w:val="18"/>
                <w:szCs w:val="18"/>
                <w:lang w:eastAsia="en-US"/>
              </w:rPr>
            </w:pPr>
            <w:r>
              <w:rPr>
                <w:sz w:val="18"/>
                <w:szCs w:val="18"/>
                <w:lang w:eastAsia="en-US"/>
              </w:rPr>
              <w:t>Kurumlar Vergisi ve Ertelenmiş Vergi</w:t>
            </w:r>
          </w:p>
        </w:tc>
        <w:tc>
          <w:tcPr>
            <w:tcW w:w="2977" w:type="dxa"/>
            <w:gridSpan w:val="2"/>
            <w:shd w:val="clear" w:color="auto"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551" w:type="dxa"/>
            <w:gridSpan w:val="2"/>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12</w:t>
            </w:r>
            <w:r>
              <w:rPr>
                <w:b/>
                <w:bCs/>
                <w:sz w:val="18"/>
                <w:szCs w:val="18"/>
              </w:rPr>
              <w:t>.20</w:t>
            </w:r>
            <w:r>
              <w:rPr>
                <w:b/>
                <w:bCs/>
                <w:sz w:val="18"/>
                <w:szCs w:val="18"/>
              </w:rPr>
              <w:t>10</w:t>
            </w:r>
            <w:r>
              <w:rPr>
                <w:b/>
                <w:bCs/>
                <w:sz w:val="18"/>
                <w:szCs w:val="18"/>
              </w:rPr>
              <w:t>)</w:t>
            </w:r>
          </w:p>
        </w:tc>
      </w:tr>
      <w:tr>
        <w:trPr>
          <w:cantSplit/>
          <w:trHeight w:val="255"/>
        </w:trPr>
        <w:tc>
          <w:tcPr>
            <w:tcW w:w="3544" w:type="dxa"/>
            <w:vMerge/>
            <w:vAlign w:val="bottom"/>
          </w:tcPr>
          <w:p>
            <w:pPr>
              <w:pStyle w:val="EndnoteText"/>
              <w:keepNext/>
              <w:keepLines/>
              <w:rPr>
                <w:sz w:val="18"/>
                <w:szCs w:val="18"/>
                <w:lang w:eastAsia="en-US"/>
              </w:rPr>
            </w:pPr>
          </w:p>
        </w:tc>
        <w:tc>
          <w:tcPr>
            <w:tcW w:w="1559" w:type="dxa"/>
            <w:shd w:val="clear" w:color="auto" w:fill="FFFFFF"/>
            <w:vAlign w:val="center"/>
          </w:tcPr>
          <w:p>
            <w:pPr>
              <w:pStyle w:val="EndnoteText"/>
              <w:keepNext/>
              <w:keepLines/>
              <w:ind w:left="-70"/>
              <w:jc w:val="center"/>
              <w:rPr>
                <w:b/>
                <w:bCs/>
                <w:sz w:val="18"/>
                <w:szCs w:val="18"/>
                <w:lang w:eastAsia="en-US"/>
              </w:rPr>
            </w:pPr>
            <w:r>
              <w:rPr>
                <w:b/>
                <w:bCs/>
                <w:sz w:val="18"/>
                <w:szCs w:val="18"/>
                <w:lang w:eastAsia="en-US"/>
              </w:rPr>
              <w:t>TP</w:t>
            </w:r>
          </w:p>
        </w:tc>
        <w:tc>
          <w:tcPr>
            <w:tcW w:w="1418" w:type="dxa"/>
            <w:shd w:val="clear" w:color="auto" w:fill="FFFFFF"/>
            <w:vAlign w:val="center"/>
          </w:tcPr>
          <w:p>
            <w:pPr>
              <w:pStyle w:val="EndnoteText"/>
              <w:keepNext/>
              <w:keepLines/>
              <w:ind w:left="-70"/>
              <w:jc w:val="center"/>
              <w:rPr>
                <w:b/>
                <w:bCs/>
                <w:sz w:val="18"/>
                <w:szCs w:val="18"/>
                <w:lang w:eastAsia="en-US"/>
              </w:rPr>
            </w:pPr>
            <w:r>
              <w:rPr>
                <w:b/>
                <w:bCs/>
                <w:sz w:val="18"/>
                <w:szCs w:val="18"/>
                <w:lang w:eastAsia="en-US"/>
              </w:rPr>
              <w:t>YP</w:t>
            </w:r>
          </w:p>
        </w:tc>
        <w:tc>
          <w:tcPr>
            <w:tcW w:w="1275" w:type="dxa"/>
            <w:shd w:val="clear" w:color="auto" w:fill="FFFFFF"/>
            <w:vAlign w:val="center"/>
          </w:tcPr>
          <w:p>
            <w:pPr>
              <w:pStyle w:val="EndnoteText"/>
              <w:keepNext/>
              <w:keepLines/>
              <w:ind w:hanging="27"/>
              <w:jc w:val="center"/>
              <w:rPr>
                <w:b/>
                <w:bCs/>
                <w:sz w:val="18"/>
                <w:szCs w:val="18"/>
                <w:lang w:eastAsia="en-US"/>
              </w:rPr>
            </w:pPr>
            <w:r>
              <w:rPr>
                <w:b/>
                <w:bCs/>
                <w:sz w:val="18"/>
                <w:szCs w:val="18"/>
                <w:lang w:eastAsia="en-US"/>
              </w:rPr>
              <w:t>TP</w:t>
            </w:r>
          </w:p>
        </w:tc>
        <w:tc>
          <w:tcPr>
            <w:tcW w:w="1276" w:type="dxa"/>
            <w:shd w:val="clear" w:color="auto" w:fill="FFFFFF"/>
            <w:vAlign w:val="center"/>
          </w:tcPr>
          <w:p>
            <w:pPr>
              <w:pStyle w:val="EndnoteText"/>
              <w:keepNext/>
              <w:keepLines/>
              <w:ind w:hanging="27"/>
              <w:jc w:val="center"/>
              <w:rPr>
                <w:b/>
                <w:bCs/>
                <w:sz w:val="18"/>
                <w:szCs w:val="18"/>
                <w:lang w:eastAsia="en-US"/>
              </w:rPr>
            </w:pPr>
            <w:r>
              <w:rPr>
                <w:b/>
                <w:bCs/>
                <w:sz w:val="18"/>
                <w:szCs w:val="18"/>
                <w:lang w:eastAsia="en-US"/>
              </w:rPr>
              <w:t>YP</w:t>
            </w:r>
          </w:p>
        </w:tc>
      </w:tr>
      <w:tr>
        <w:trPr>
          <w:trHeight w:val="255"/>
        </w:trPr>
        <w:tc>
          <w:tcPr>
            <w:tcW w:w="3544" w:type="dxa"/>
            <w:shd w:val="clear" w:color="auto" w:fill="FFFFFF"/>
            <w:vAlign w:val="bottom"/>
          </w:tcPr>
          <w:p>
            <w:pPr>
              <w:pStyle w:val="EndnoteText"/>
              <w:keepNext/>
              <w:keepLines/>
              <w:rPr>
                <w:sz w:val="18"/>
                <w:szCs w:val="18"/>
                <w:lang w:eastAsia="en-US"/>
              </w:rPr>
            </w:pPr>
            <w:r>
              <w:rPr>
                <w:sz w:val="18"/>
                <w:szCs w:val="18"/>
                <w:lang w:eastAsia="en-US"/>
              </w:rPr>
              <w:t>Ödenecek Kurumlar Vergisi</w:t>
            </w:r>
          </w:p>
        </w:tc>
        <w:tc>
          <w:tcPr>
            <w:tcW w:w="1559" w:type="dxa"/>
            <w:shd w:val="clear" w:color="auto" w:fill="FFFFFF"/>
            <w:vAlign w:val="bottom"/>
          </w:tcPr>
          <w:p>
            <w:pPr>
              <w:pStyle w:val="EndnoteText"/>
              <w:keepNext/>
              <w:keepLines/>
              <w:jc w:val="right"/>
              <w:rPr>
                <w:sz w:val="18"/>
                <w:szCs w:val="18"/>
                <w:lang w:eastAsia="en-US"/>
              </w:rPr>
            </w:pPr>
            <w:r>
              <w:rPr>
                <w:sz w:val="18"/>
                <w:szCs w:val="18"/>
                <w:lang w:eastAsia="en-US"/>
              </w:rPr>
              <w:t>1.20</w:t>
            </w:r>
            <w:r>
              <w:rPr>
                <w:sz w:val="18"/>
                <w:szCs w:val="18"/>
                <w:lang w:eastAsia="en-US"/>
              </w:rPr>
              <w:t>1</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EndnoteText"/>
              <w:keepNext/>
              <w:keepLines/>
              <w:jc w:val="right"/>
              <w:rPr>
                <w:sz w:val="18"/>
                <w:szCs w:val="18"/>
                <w:lang w:eastAsia="en-US"/>
              </w:rPr>
            </w:pPr>
            <w:r>
              <w:rPr>
                <w:sz w:val="18"/>
                <w:szCs w:val="18"/>
                <w:lang w:eastAsia="en-US"/>
              </w:rPr>
              <w:t>3.103</w:t>
            </w:r>
          </w:p>
        </w:tc>
        <w:tc>
          <w:tcPr>
            <w:tcW w:w="1276" w:type="dxa"/>
            <w:shd w:val="clear" w:color="auto" w:fill="FFFFFF"/>
            <w:vAlign w:val="bottom"/>
          </w:tcPr>
          <w:p>
            <w:pPr>
              <w:pStyle w:val="EndnoteText"/>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EndnoteText"/>
              <w:keepNext/>
              <w:keepLines/>
              <w:rPr>
                <w:sz w:val="18"/>
                <w:szCs w:val="18"/>
                <w:lang w:eastAsia="en-US"/>
              </w:rPr>
            </w:pPr>
            <w:r>
              <w:rPr>
                <w:sz w:val="18"/>
                <w:szCs w:val="18"/>
                <w:lang w:eastAsia="en-US"/>
              </w:rPr>
              <w:t>Ertelenmiş Vergi Borcu</w:t>
            </w:r>
          </w:p>
        </w:tc>
        <w:tc>
          <w:tcPr>
            <w:tcW w:w="1559" w:type="dxa"/>
            <w:shd w:val="clear" w:color="auto" w:fill="FFFFFF"/>
            <w:vAlign w:val="bottom"/>
          </w:tcPr>
          <w:p>
            <w:pPr>
              <w:jc w:val="right"/>
              <w:rPr>
                <w:sz w:val="18"/>
                <w:szCs w:val="18"/>
              </w:rPr>
            </w:pPr>
            <w:r>
              <w:rPr>
                <w:sz w:val="18"/>
                <w:szCs w:val="18"/>
              </w:rPr>
              <w:t>- </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EndnoteText"/>
              <w:keepNext/>
              <w:keepLines/>
              <w:ind w:left="-70"/>
              <w:jc w:val="right"/>
              <w:rPr>
                <w:sz w:val="18"/>
                <w:szCs w:val="18"/>
                <w:lang w:eastAsia="en-US"/>
              </w:rPr>
            </w:pPr>
            <w:r>
              <w:rPr>
                <w:sz w:val="18"/>
                <w:szCs w:val="18"/>
                <w:lang w:eastAsia="en-US"/>
              </w:rPr>
              <w:t>-</w:t>
            </w:r>
          </w:p>
        </w:tc>
        <w:tc>
          <w:tcPr>
            <w:tcW w:w="1276" w:type="dxa"/>
            <w:shd w:val="clear" w:color="auto" w:fill="FFFFFF"/>
            <w:vAlign w:val="bottom"/>
          </w:tcPr>
          <w:p>
            <w:pPr>
              <w:pStyle w:val="EndnoteText"/>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EndnoteText"/>
              <w:keepNext/>
              <w:keepLines/>
              <w:rPr>
                <w:sz w:val="18"/>
                <w:szCs w:val="18"/>
                <w:lang w:eastAsia="en-US"/>
              </w:rPr>
            </w:pPr>
            <w:r>
              <w:rPr>
                <w:sz w:val="18"/>
                <w:szCs w:val="18"/>
                <w:lang w:eastAsia="en-US"/>
              </w:rPr>
              <w:t>Toplam</w:t>
            </w:r>
          </w:p>
        </w:tc>
        <w:tc>
          <w:tcPr>
            <w:tcW w:w="1559" w:type="dxa"/>
            <w:shd w:val="clear" w:color="auto" w:fill="FFFFFF"/>
            <w:vAlign w:val="bottom"/>
          </w:tcPr>
          <w:p>
            <w:pPr>
              <w:pStyle w:val="EndnoteText"/>
              <w:keepNext/>
              <w:keepLines/>
              <w:jc w:val="right"/>
              <w:rPr>
                <w:sz w:val="18"/>
                <w:szCs w:val="18"/>
                <w:lang w:eastAsia="en-US"/>
              </w:rPr>
            </w:pPr>
            <w:r>
              <w:rPr>
                <w:sz w:val="18"/>
                <w:szCs w:val="18"/>
                <w:lang w:eastAsia="en-US"/>
              </w:rPr>
              <w:t>1.201</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EndnoteText"/>
              <w:keepNext/>
              <w:keepLines/>
              <w:ind w:left="-70"/>
              <w:jc w:val="right"/>
              <w:rPr>
                <w:sz w:val="18"/>
                <w:szCs w:val="18"/>
                <w:lang w:eastAsia="en-US"/>
              </w:rPr>
            </w:pPr>
            <w:r>
              <w:rPr>
                <w:sz w:val="18"/>
                <w:szCs w:val="18"/>
                <w:lang w:eastAsia="en-US"/>
              </w:rPr>
              <w:t>3.103</w:t>
            </w:r>
          </w:p>
        </w:tc>
        <w:tc>
          <w:tcPr>
            <w:tcW w:w="1276" w:type="dxa"/>
            <w:shd w:val="clear" w:color="auto" w:fill="FFFFFF"/>
            <w:vAlign w:val="bottom"/>
          </w:tcPr>
          <w:p>
            <w:pPr>
              <w:pStyle w:val="EndnoteText"/>
              <w:keepNext/>
              <w:keepLines/>
              <w:ind w:left="-70"/>
              <w:jc w:val="right"/>
              <w:rPr>
                <w:sz w:val="18"/>
                <w:szCs w:val="18"/>
                <w:lang w:eastAsia="en-US"/>
              </w:rPr>
            </w:pPr>
            <w:r>
              <w:rPr>
                <w:sz w:val="18"/>
                <w:szCs w:val="18"/>
                <w:lang w:eastAsia="en-US"/>
              </w:rPr>
              <w:t>-</w:t>
            </w:r>
          </w:p>
        </w:tc>
      </w:tr>
    </w:tbl>
    <w:p>
      <w:pPr>
        <w:rPr>
          <w:b/>
          <w:bCs/>
          <w:sz w:val="12"/>
          <w:szCs w:val="12"/>
        </w:rPr>
      </w:pPr>
    </w:p>
    <w:p>
      <w:pPr>
        <w:rPr>
          <w:b/>
          <w:bCs/>
          <w:sz w:val="22"/>
          <w:szCs w:val="22"/>
        </w:rPr>
      </w:pPr>
    </w:p>
    <w:p>
      <w:pPr>
        <w:rPr>
          <w:b/>
          <w:bCs/>
          <w:sz w:val="22"/>
          <w:szCs w:val="22"/>
        </w:rPr>
      </w:pPr>
      <w:r>
        <w:rPr>
          <w:b/>
          <w:bCs/>
          <w:sz w:val="22"/>
          <w:szCs w:val="22"/>
        </w:rPr>
        <w:t>8.a.2)</w:t>
      </w:r>
      <w:r>
        <w:rPr>
          <w:b/>
          <w:bCs/>
          <w:sz w:val="22"/>
          <w:szCs w:val="22"/>
        </w:rPr>
        <w:tab/>
      </w:r>
      <w:r>
        <w:rPr>
          <w:b/>
          <w:bCs/>
          <w:sz w:val="22"/>
          <w:szCs w:val="22"/>
        </w:rPr>
        <w:t>Ödenec</w:t>
      </w:r>
      <w:r>
        <w:rPr>
          <w:b/>
          <w:bCs/>
          <w:sz w:val="22"/>
          <w:szCs w:val="22"/>
        </w:rPr>
        <w:t>ek vergilere ilişkin bilgiler:</w:t>
      </w:r>
    </w:p>
    <w:p>
      <w:pPr>
        <w:rPr>
          <w:b/>
          <w:bCs/>
          <w:sz w:val="16"/>
          <w:szCs w:val="16"/>
        </w:rPr>
      </w:pPr>
    </w:p>
    <w:tbl>
      <w:tblPr>
        <w:tblW w:w="9072" w:type="dxa"/>
        <w:tblInd w:w="779" w:type="dxa"/>
        <w:tblLayout w:type="fixed"/>
        <w:tblCellMar>
          <w:left w:w="70" w:type="dxa"/>
          <w:right w:w="70" w:type="dxa"/>
        </w:tblCellMar>
        <w:tblLook w:val="00A0"/>
      </w:tblPr>
      <w:tblGrid>
        <w:gridCol w:w="3544"/>
        <w:gridCol w:w="2977"/>
        <w:gridCol w:w="2551"/>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bookmarkStart w:id="3" w:name="_Hlk245283574"/>
            <w:r>
              <w:rPr>
                <w:sz w:val="18"/>
                <w:szCs w:val="18"/>
              </w:rPr>
              <w:t>Ödenecek Kurumlar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pStyle w:val="EndnoteText"/>
              <w:keepNext/>
              <w:keepLines/>
              <w:jc w:val="right"/>
              <w:rPr>
                <w:sz w:val="18"/>
                <w:szCs w:val="18"/>
                <w:lang w:eastAsia="en-US"/>
              </w:rPr>
            </w:pPr>
            <w:r>
              <w:rPr>
                <w:sz w:val="18"/>
                <w:szCs w:val="18"/>
                <w:lang w:eastAsia="en-US"/>
              </w:rPr>
              <w:t>1.201</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3.103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32</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Gayrimenkul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BSMV</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126</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Kambiyo Muameleleri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Ödenecek Katma Değer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31</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582</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578</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ind w:left="355" w:hanging="355"/>
              <w:rPr>
                <w:sz w:val="18"/>
                <w:szCs w:val="18"/>
              </w:rPr>
            </w:pPr>
            <w:r>
              <w:rPr>
                <w:sz w:val="18"/>
                <w:szCs w:val="18"/>
              </w:rPr>
              <w:t>Toplam</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1.966</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3.875</w:t>
            </w:r>
          </w:p>
        </w:tc>
      </w:tr>
      <w:bookmarkEnd w:id="3"/>
    </w:tbl>
    <w:p>
      <w:pPr>
        <w:ind w:left="709" w:hanging="709"/>
        <w:rPr>
          <w:b/>
          <w:bCs/>
          <w:sz w:val="22"/>
          <w:szCs w:val="22"/>
        </w:rPr>
      </w:pPr>
    </w:p>
    <w:p>
      <w:pPr>
        <w:ind w:left="709" w:hanging="709"/>
        <w:rPr>
          <w:b/>
          <w:bCs/>
          <w:sz w:val="22"/>
          <w:szCs w:val="22"/>
        </w:rPr>
      </w:pPr>
      <w:r>
        <w:rPr>
          <w:b/>
          <w:bCs/>
          <w:sz w:val="22"/>
          <w:szCs w:val="22"/>
        </w:rPr>
        <w:t>8.a.3)</w:t>
      </w:r>
      <w:r>
        <w:rPr>
          <w:b/>
          <w:bCs/>
          <w:sz w:val="22"/>
          <w:szCs w:val="22"/>
        </w:rPr>
        <w:tab/>
      </w:r>
      <w:r>
        <w:rPr>
          <w:b/>
          <w:bCs/>
          <w:sz w:val="22"/>
          <w:szCs w:val="22"/>
        </w:rPr>
        <w:t>Primlere ilişkin bilgiler:</w:t>
      </w:r>
    </w:p>
    <w:p>
      <w:pPr>
        <w:ind w:left="709"/>
        <w:rPr>
          <w:b/>
          <w:bCs/>
          <w:sz w:val="16"/>
          <w:szCs w:val="16"/>
        </w:rPr>
      </w:pPr>
    </w:p>
    <w:tbl>
      <w:tblPr>
        <w:tblW w:w="9072" w:type="dxa"/>
        <w:tblInd w:w="779" w:type="dxa"/>
        <w:tblLayout w:type="fixed"/>
        <w:tblCellMar>
          <w:left w:w="70" w:type="dxa"/>
          <w:right w:w="70" w:type="dxa"/>
        </w:tblCellMar>
        <w:tblLook w:val="00A0"/>
      </w:tblPr>
      <w:tblGrid>
        <w:gridCol w:w="4253"/>
        <w:gridCol w:w="2551"/>
        <w:gridCol w:w="2268"/>
      </w:tblGrid>
      <w:tr>
        <w:trPr>
          <w:trHeight w:val="637"/>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77</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77</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109</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108</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203</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202</w:t>
            </w:r>
          </w:p>
        </w:tc>
      </w:tr>
    </w:tbl>
    <w:p>
      <w:pPr>
        <w:jc w:val="both"/>
        <w:rPr>
          <w:sz w:val="16"/>
          <w:szCs w:val="16"/>
        </w:rPr>
      </w:pPr>
    </w:p>
    <w:p>
      <w:pPr>
        <w:pStyle w:val="Heading4"/>
        <w:ind w:left="709" w:hanging="709"/>
        <w:rPr>
          <w:sz w:val="22"/>
          <w:szCs w:val="22"/>
        </w:rPr>
      </w:pPr>
      <w:r>
        <w:rPr>
          <w:sz w:val="22"/>
          <w:szCs w:val="22"/>
        </w:rPr>
        <w:br w:type="page"/>
      </w:r>
    </w:p>
    <w:p>
      <w:pPr>
        <w:pStyle w:val="Heading4"/>
        <w:ind w:left="709" w:hanging="709"/>
        <w:rPr>
          <w:rFonts w:ascii="Times New Roman" w:hAnsi="Times New Roman"/>
          <w:sz w:val="22"/>
          <w:szCs w:val="22"/>
        </w:rPr>
      </w:pPr>
    </w:p>
    <w:p>
      <w:pPr>
        <w:pStyle w:val="Heading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rFonts w:eastAsia="Arial Unicode MS"/>
          <w:b/>
          <w:bCs/>
          <w:sz w:val="22"/>
          <w:szCs w:val="22"/>
        </w:rPr>
      </w:pPr>
      <w:r>
        <w:rPr>
          <w:rFonts w:eastAsia="Arial Unicode MS"/>
          <w:b/>
          <w:bCs/>
          <w:sz w:val="22"/>
          <w:szCs w:val="22"/>
        </w:rPr>
        <w:t>8.b)</w:t>
      </w:r>
      <w:r>
        <w:rPr>
          <w:rFonts w:eastAsia="Arial Unicode MS"/>
          <w:b/>
          <w:bCs/>
          <w:sz w:val="22"/>
          <w:szCs w:val="22"/>
        </w:rPr>
        <w:tab/>
      </w:r>
      <w:r>
        <w:rPr>
          <w:rFonts w:eastAsia="Arial Unicode MS"/>
          <w:b/>
          <w:bCs/>
          <w:sz w:val="22"/>
          <w:szCs w:val="22"/>
        </w:rPr>
        <w:t>Bulunması halinde ertelenmiş vergi borcuna ilişkin açıklama:</w:t>
      </w:r>
    </w:p>
    <w:p>
      <w:pPr>
        <w:jc w:val="both"/>
        <w:rPr>
          <w:rFonts w:eastAsia="Arial Unicode MS"/>
          <w:b/>
          <w:bCs/>
          <w:sz w:val="22"/>
          <w:szCs w:val="22"/>
        </w:rPr>
      </w:pPr>
    </w:p>
    <w:p>
      <w:pPr>
        <w:ind w:firstLine="709"/>
        <w:jc w:val="both"/>
        <w:rPr>
          <w:rFonts w:eastAsia="Arial Unicode MS"/>
          <w:bCs/>
          <w:sz w:val="22"/>
          <w:szCs w:val="22"/>
        </w:rPr>
      </w:pPr>
      <w:r>
        <w:rPr>
          <w:rFonts w:eastAsia="Arial Unicode MS"/>
          <w:bCs/>
          <w:sz w:val="22"/>
          <w:szCs w:val="22"/>
        </w:rPr>
        <w:t>Bulunmamaktadır.</w:t>
      </w:r>
    </w:p>
    <w:p>
      <w:pPr>
        <w:ind w:left="567"/>
        <w:rPr>
          <w:sz w:val="22"/>
          <w:szCs w:val="22"/>
        </w:rPr>
      </w:pPr>
    </w:p>
    <w:p>
      <w:pPr>
        <w:ind w:left="709" w:hanging="709"/>
        <w:jc w:val="both"/>
        <w:rPr>
          <w:b/>
          <w:bCs/>
          <w:sz w:val="22"/>
          <w:szCs w:val="22"/>
        </w:rPr>
      </w:pPr>
      <w:r>
        <w:rPr>
          <w:b/>
          <w:bCs/>
          <w:sz w:val="22"/>
          <w:szCs w:val="22"/>
        </w:rPr>
        <w:t>9.</w:t>
      </w:r>
      <w:r>
        <w:rPr>
          <w:b/>
          <w:bCs/>
          <w:sz w:val="22"/>
          <w:szCs w:val="22"/>
        </w:rPr>
        <w:tab/>
      </w:r>
      <w:r>
        <w:rPr>
          <w:b/>
          <w:bCs/>
          <w:sz w:val="22"/>
          <w:szCs w:val="22"/>
        </w:rPr>
        <w:t>Satış amaçlı elde tutulan ve durdurulan faaliyetlere ilişkin duran varlık borçları hakkında bilgiler:</w:t>
      </w:r>
    </w:p>
    <w:p>
      <w:pPr>
        <w:tabs>
          <w:tab w:val="left" w:pos="567"/>
        </w:tabs>
        <w:ind w:left="567"/>
        <w:jc w:val="both"/>
        <w:rPr>
          <w:sz w:val="22"/>
          <w:szCs w:val="22"/>
        </w:rPr>
      </w:pPr>
    </w:p>
    <w:p>
      <w:pPr>
        <w:ind w:left="709"/>
        <w:jc w:val="both"/>
        <w:rPr>
          <w:sz w:val="22"/>
          <w:szCs w:val="22"/>
        </w:rPr>
      </w:pPr>
      <w:r>
        <w:rPr>
          <w:sz w:val="22"/>
          <w:szCs w:val="22"/>
        </w:rPr>
        <w:t>Banka’nın satış amaçlı elde tutulan ve durdurulan faaliyetlere ilişkin duran varlık borcu bulunmamaktadır.</w:t>
      </w:r>
    </w:p>
    <w:p>
      <w:pPr>
        <w:tabs>
          <w:tab w:val="left" w:pos="-2160"/>
          <w:tab w:val="left" w:pos="567"/>
        </w:tabs>
        <w:ind w:left="567" w:hanging="567"/>
        <w:rPr>
          <w:b/>
          <w:bCs/>
          <w:sz w:val="22"/>
          <w:szCs w:val="22"/>
        </w:rPr>
      </w:pPr>
    </w:p>
    <w:p>
      <w:pPr>
        <w:tabs>
          <w:tab w:val="left" w:pos="-2160"/>
        </w:tabs>
        <w:ind w:left="709" w:hanging="709"/>
        <w:jc w:val="both"/>
        <w:rPr>
          <w:b/>
          <w:bCs/>
          <w:sz w:val="22"/>
          <w:szCs w:val="22"/>
        </w:rPr>
      </w:pPr>
      <w:r>
        <w:rPr>
          <w:b/>
          <w:bCs/>
          <w:sz w:val="22"/>
          <w:szCs w:val="22"/>
        </w:rPr>
        <w:t>10</w:t>
      </w:r>
      <w:r>
        <w:rPr>
          <w:sz w:val="22"/>
          <w:szCs w:val="22"/>
        </w:rPr>
        <w:t>.</w:t>
      </w:r>
      <w:r>
        <w:rPr>
          <w:b/>
          <w:bCs/>
          <w:sz w:val="22"/>
          <w:szCs w:val="22"/>
        </w:rPr>
        <w:tab/>
      </w:r>
      <w:r>
        <w:rPr>
          <w:b/>
          <w:bCs/>
          <w:sz w:val="22"/>
          <w:szCs w:val="22"/>
        </w:rPr>
        <w:t>Banka’nın kullandığı sermaye benzeri kredilerin sayısı</w:t>
      </w:r>
      <w:r>
        <w:rPr>
          <w:b/>
          <w:bCs/>
          <w:sz w:val="22"/>
          <w:szCs w:val="22"/>
        </w:rPr>
        <w:t>,</w:t>
      </w:r>
      <w:r>
        <w:rPr>
          <w:b/>
          <w:bCs/>
          <w:sz w:val="22"/>
          <w:szCs w:val="22"/>
        </w:rPr>
        <w:t xml:space="preserve"> vadesi</w:t>
      </w:r>
      <w:r>
        <w:rPr>
          <w:b/>
          <w:bCs/>
          <w:sz w:val="22"/>
          <w:szCs w:val="22"/>
        </w:rPr>
        <w:t>,</w:t>
      </w:r>
      <w:r>
        <w:rPr>
          <w:b/>
          <w:bCs/>
          <w:sz w:val="22"/>
          <w:szCs w:val="22"/>
        </w:rPr>
        <w:t xml:space="preserve"> faiz oranı</w:t>
      </w:r>
      <w:r>
        <w:rPr>
          <w:b/>
          <w:bCs/>
          <w:sz w:val="22"/>
          <w:szCs w:val="22"/>
        </w:rPr>
        <w:t>,</w:t>
      </w:r>
      <w:r>
        <w:rPr>
          <w:b/>
          <w:bCs/>
          <w:sz w:val="22"/>
          <w:szCs w:val="22"/>
        </w:rPr>
        <w:t xml:space="preserve"> kredinin temin edildiği kuruluş ve varsa</w:t>
      </w:r>
      <w:r>
        <w:rPr>
          <w:b/>
          <w:bCs/>
          <w:sz w:val="22"/>
          <w:szCs w:val="22"/>
        </w:rPr>
        <w:t>,</w:t>
      </w:r>
      <w:r>
        <w:rPr>
          <w:b/>
          <w:bCs/>
          <w:sz w:val="22"/>
          <w:szCs w:val="22"/>
        </w:rPr>
        <w:t xml:space="preserve"> hisse senedine dönüştürme opsiyonuna ilişkin açıklamalar:</w:t>
      </w:r>
    </w:p>
    <w:p>
      <w:pPr>
        <w:tabs>
          <w:tab w:val="left" w:pos="-2160"/>
          <w:tab w:val="left" w:pos="6555"/>
        </w:tabs>
        <w:ind w:left="756" w:hanging="756"/>
        <w:rPr>
          <w:b/>
          <w:bCs/>
          <w:sz w:val="16"/>
          <w:szCs w:val="16"/>
        </w:rPr>
      </w:pPr>
      <w:r>
        <w:rPr>
          <w:b/>
          <w:bCs/>
          <w:sz w:val="16"/>
          <w:szCs w:val="16"/>
        </w:rPr>
        <w:tab/>
      </w:r>
      <w:r>
        <w:rPr>
          <w:b/>
          <w:bCs/>
          <w:sz w:val="16"/>
          <w:szCs w:val="16"/>
        </w:rPr>
        <w:tab/>
      </w:r>
    </w:p>
    <w:p>
      <w:pPr>
        <w:tabs>
          <w:tab w:val="left" w:pos="-2160"/>
        </w:tabs>
        <w:ind w:left="709"/>
        <w:rPr>
          <w:sz w:val="22"/>
          <w:szCs w:val="22"/>
        </w:rPr>
      </w:pPr>
      <w:r>
        <w:rPr>
          <w:sz w:val="22"/>
          <w:szCs w:val="22"/>
        </w:rPr>
        <w:t>Banka</w:t>
      </w:r>
      <w:r>
        <w:rPr>
          <w:sz w:val="22"/>
          <w:szCs w:val="22"/>
        </w:rPr>
        <w:t>’</w:t>
      </w:r>
      <w:r>
        <w:rPr>
          <w:sz w:val="22"/>
          <w:szCs w:val="22"/>
        </w:rPr>
        <w:t>nın sermaye benzeri kredileri bulunmamaktadır.</w:t>
      </w:r>
    </w:p>
    <w:p>
      <w:pPr>
        <w:pStyle w:val="BodyText2"/>
        <w:tabs>
          <w:tab w:val="left" w:pos="180"/>
        </w:tabs>
        <w:ind w:left="567"/>
      </w:pPr>
    </w:p>
    <w:p>
      <w:pPr>
        <w:pStyle w:val="BodyText2"/>
        <w:rPr>
          <w:b/>
          <w:sz w:val="22"/>
          <w:szCs w:val="22"/>
        </w:rPr>
      </w:pPr>
      <w:r>
        <w:rPr>
          <w:b/>
          <w:sz w:val="22"/>
          <w:szCs w:val="22"/>
        </w:rPr>
        <w:t>11.</w:t>
      </w:r>
      <w:r>
        <w:rPr>
          <w:b/>
          <w:sz w:val="22"/>
          <w:szCs w:val="22"/>
        </w:rPr>
        <w:tab/>
      </w:r>
      <w:r>
        <w:rPr>
          <w:b/>
          <w:sz w:val="22"/>
          <w:szCs w:val="22"/>
        </w:rPr>
        <w:t>Özkaynaklara i</w:t>
      </w:r>
      <w:r>
        <w:rPr>
          <w:b/>
          <w:sz w:val="22"/>
          <w:szCs w:val="22"/>
        </w:rPr>
        <w:t xml:space="preserve">lişkin </w:t>
      </w:r>
      <w:r>
        <w:rPr>
          <w:b/>
          <w:sz w:val="22"/>
          <w:szCs w:val="22"/>
        </w:rPr>
        <w:t>b</w:t>
      </w:r>
      <w:r>
        <w:rPr>
          <w:b/>
          <w:sz w:val="22"/>
          <w:szCs w:val="22"/>
        </w:rPr>
        <w:t>ilgiler:</w:t>
      </w:r>
    </w:p>
    <w:p>
      <w:pPr>
        <w:tabs>
          <w:tab w:val="left" w:pos="180"/>
        </w:tabs>
        <w:ind w:left="567"/>
        <w:jc w:val="both"/>
        <w:rPr>
          <w:b/>
          <w:bCs/>
          <w:sz w:val="16"/>
          <w:szCs w:val="16"/>
        </w:rPr>
      </w:pPr>
    </w:p>
    <w:p>
      <w:pPr>
        <w:pStyle w:val="BodyText3"/>
        <w:tabs>
          <w:tab w:val="clear" w:pos="539"/>
          <w:tab w:val="clear" w:pos="5310"/>
          <w:tab w:val="clear" w:pos="7560"/>
        </w:tabs>
        <w:ind w:left="709" w:hanging="709"/>
        <w:jc w:val="both"/>
        <w:rPr>
          <w:b/>
          <w:bCs/>
          <w:iCs/>
          <w:sz w:val="22"/>
          <w:szCs w:val="22"/>
        </w:rPr>
      </w:pPr>
      <w:r>
        <w:rPr>
          <w:b/>
          <w:bCs/>
          <w:iCs/>
          <w:sz w:val="22"/>
          <w:szCs w:val="22"/>
        </w:rPr>
        <w:t>11.a)</w:t>
      </w:r>
      <w:r>
        <w:rPr>
          <w:b/>
          <w:bCs/>
          <w:iCs/>
          <w:sz w:val="22"/>
          <w:szCs w:val="22"/>
        </w:rPr>
        <w:tab/>
      </w:r>
      <w:r>
        <w:rPr>
          <w:b/>
          <w:bCs/>
          <w:iCs/>
          <w:sz w:val="22"/>
          <w:szCs w:val="22"/>
        </w:rPr>
        <w:t>Ödenmiş sermayenin gösterimi:</w:t>
      </w:r>
    </w:p>
    <w:p>
      <w:pPr>
        <w:pStyle w:val="BodyText3"/>
        <w:tabs>
          <w:tab w:val="clear" w:pos="539"/>
          <w:tab w:val="clear" w:pos="5310"/>
          <w:tab w:val="clear" w:pos="7560"/>
        </w:tabs>
        <w:ind w:left="567"/>
        <w:jc w:val="both"/>
        <w:rPr>
          <w:b/>
          <w:bCs/>
          <w:i/>
          <w:iCs/>
        </w:rPr>
      </w:pPr>
    </w:p>
    <w:tbl>
      <w:tblPr>
        <w:tblW w:w="9072" w:type="dxa"/>
        <w:tblInd w:w="779" w:type="dxa"/>
        <w:tblLayout w:type="fixed"/>
        <w:tblCellMar>
          <w:left w:w="70" w:type="dxa"/>
          <w:right w:w="70" w:type="dxa"/>
        </w:tblCellMar>
        <w:tblLook w:val="00A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w:t>
            </w:r>
            <w:r>
              <w:rPr>
                <w:b/>
                <w:bCs/>
                <w:sz w:val="18"/>
                <w:szCs w:val="18"/>
              </w:rPr>
              <w:t>1</w:t>
            </w:r>
            <w:r>
              <w:rPr>
                <w:b/>
                <w:bCs/>
                <w:sz w:val="18"/>
                <w:szCs w:val="18"/>
              </w:rPr>
              <w:t>)</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tabs>
          <w:tab w:val="left" w:pos="180"/>
        </w:tabs>
        <w:jc w:val="both"/>
        <w:rPr>
          <w:b/>
          <w:bCs/>
          <w:sz w:val="22"/>
          <w:szCs w:val="22"/>
        </w:rPr>
      </w:pPr>
    </w:p>
    <w:p>
      <w:pPr>
        <w:ind w:left="709" w:hanging="709"/>
        <w:jc w:val="both"/>
        <w:rPr>
          <w:b/>
          <w:bCs/>
          <w:sz w:val="22"/>
          <w:szCs w:val="22"/>
        </w:rPr>
      </w:pPr>
      <w:r>
        <w:rPr>
          <w:b/>
          <w:bCs/>
          <w:sz w:val="22"/>
          <w:szCs w:val="22"/>
        </w:rPr>
        <w:t>11.b)</w:t>
      </w:r>
      <w:r>
        <w:rPr>
          <w:b/>
          <w:bCs/>
          <w:sz w:val="22"/>
          <w:szCs w:val="22"/>
        </w:rPr>
        <w:tab/>
      </w:r>
      <w:r>
        <w:rPr>
          <w:b/>
          <w:bCs/>
          <w:sz w:val="22"/>
          <w:szCs w:val="22"/>
        </w:rPr>
        <w:t>Ödenmiş sermaye tutarı</w:t>
      </w:r>
      <w:r>
        <w:rPr>
          <w:b/>
          <w:bCs/>
          <w:sz w:val="22"/>
          <w:szCs w:val="22"/>
        </w:rPr>
        <w:t>,</w:t>
      </w:r>
      <w:r>
        <w:rPr>
          <w:b/>
          <w:bCs/>
          <w:sz w:val="22"/>
          <w:szCs w:val="22"/>
        </w:rPr>
        <w:t xml:space="preserve"> bankada kayıtlı sermaye sisteminin uygulanıp uygulanmadığı hususunun açıklanması ve bu sistem uygulanıyor ise kayıtlı sermaye tavanı: </w:t>
      </w:r>
    </w:p>
    <w:p>
      <w:pPr>
        <w:tabs>
          <w:tab w:val="left" w:pos="180"/>
        </w:tabs>
        <w:ind w:left="567"/>
        <w:jc w:val="both"/>
        <w:rPr>
          <w:b/>
          <w:bCs/>
          <w:sz w:val="16"/>
          <w:szCs w:val="16"/>
        </w:rPr>
      </w:pPr>
    </w:p>
    <w:tbl>
      <w:tblPr>
        <w:tblW w:w="9072" w:type="dxa"/>
        <w:tblInd w:w="779" w:type="dxa"/>
        <w:tblLayout w:type="fixed"/>
        <w:tblCellMar>
          <w:left w:w="70" w:type="dxa"/>
          <w:right w:w="70" w:type="dxa"/>
        </w:tblCellMar>
        <w:tblLook w:val="00A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Sermaye Sistemi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Ödenmiş Sermaye</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Tavan</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Kayıtlı Sermaye</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500.000</w:t>
            </w:r>
          </w:p>
        </w:tc>
      </w:tr>
    </w:tbl>
    <w:p>
      <w:pPr>
        <w:tabs>
          <w:tab w:val="left" w:pos="180"/>
        </w:tabs>
        <w:jc w:val="both"/>
        <w:rPr>
          <w:i/>
          <w:iCs/>
          <w:sz w:val="22"/>
          <w:szCs w:val="22"/>
        </w:rPr>
      </w:pPr>
    </w:p>
    <w:p>
      <w:pPr>
        <w:pStyle w:val="BodyText"/>
        <w:tabs>
          <w:tab w:val="clear" w:pos="0"/>
          <w:tab w:val="clear" w:pos="567"/>
          <w:tab w:val="clear" w:pos="720"/>
        </w:tabs>
        <w:ind w:left="709" w:hanging="709"/>
        <w:rPr>
          <w:b/>
          <w:bCs/>
          <w:sz w:val="22"/>
          <w:szCs w:val="22"/>
        </w:rPr>
      </w:pPr>
      <w:r>
        <w:rPr>
          <w:b/>
          <w:bCs/>
          <w:sz w:val="22"/>
          <w:szCs w:val="22"/>
        </w:rPr>
        <w:t>11.c)</w:t>
      </w:r>
      <w:r>
        <w:rPr>
          <w:b/>
          <w:bCs/>
          <w:sz w:val="22"/>
          <w:szCs w:val="22"/>
        </w:rPr>
        <w:tab/>
      </w:r>
      <w:r>
        <w:rPr>
          <w:b/>
          <w:bCs/>
          <w:sz w:val="22"/>
          <w:szCs w:val="22"/>
        </w:rPr>
        <w:t>Cari dönem içinde yapılan sermaye artırımları ve kaynakları ile arttırılan sermaye payına ilişkin diğer bilgiler:</w:t>
      </w:r>
    </w:p>
    <w:p>
      <w:pPr>
        <w:pStyle w:val="BodyText"/>
        <w:tabs>
          <w:tab w:val="clear" w:pos="0"/>
          <w:tab w:val="clear" w:pos="567"/>
          <w:tab w:val="clear" w:pos="720"/>
        </w:tabs>
        <w:ind w:left="567"/>
        <w:rPr>
          <w:b/>
          <w:bCs/>
          <w:sz w:val="16"/>
          <w:szCs w:val="16"/>
        </w:rPr>
      </w:pPr>
    </w:p>
    <w:p>
      <w:pPr>
        <w:pStyle w:val="BodyText"/>
        <w:tabs>
          <w:tab w:val="clear" w:pos="0"/>
          <w:tab w:val="clear" w:pos="567"/>
          <w:tab w:val="clear" w:pos="720"/>
        </w:tabs>
        <w:ind w:left="709"/>
        <w:rPr>
          <w:sz w:val="22"/>
          <w:szCs w:val="22"/>
        </w:rPr>
      </w:pPr>
      <w:r>
        <w:rPr>
          <w:sz w:val="22"/>
          <w:szCs w:val="22"/>
        </w:rPr>
        <w:t>Cari dönem içinde sermaye arttırımı bulunmamaktadır.</w:t>
      </w:r>
    </w:p>
    <w:p>
      <w:pPr>
        <w:tabs>
          <w:tab w:val="left" w:pos="-2160"/>
        </w:tabs>
        <w:jc w:val="both"/>
        <w:rPr>
          <w:b/>
          <w:bCs/>
          <w:sz w:val="22"/>
          <w:szCs w:val="22"/>
        </w:rPr>
      </w:pPr>
    </w:p>
    <w:p>
      <w:pPr>
        <w:tabs>
          <w:tab w:val="left" w:pos="-2160"/>
        </w:tabs>
        <w:jc w:val="both"/>
        <w:rPr>
          <w:b/>
          <w:bCs/>
          <w:sz w:val="22"/>
          <w:szCs w:val="22"/>
        </w:rPr>
      </w:pPr>
      <w:r>
        <w:rPr>
          <w:b/>
          <w:bCs/>
          <w:sz w:val="22"/>
          <w:szCs w:val="22"/>
        </w:rPr>
        <w:t>11.ç)</w:t>
      </w:r>
      <w:r>
        <w:rPr>
          <w:b/>
          <w:bCs/>
          <w:sz w:val="22"/>
          <w:szCs w:val="22"/>
        </w:rPr>
        <w:tab/>
      </w:r>
      <w:r>
        <w:rPr>
          <w:b/>
          <w:bCs/>
          <w:sz w:val="22"/>
          <w:szCs w:val="22"/>
        </w:rPr>
        <w:t>Cari dönem içinde sermaye yedeklerinden sermayeye ilave edilen kısma ilişkin bilgiler:</w:t>
      </w:r>
    </w:p>
    <w:p>
      <w:pPr>
        <w:pStyle w:val="BodyText3"/>
        <w:tabs>
          <w:tab w:val="clear" w:pos="539"/>
          <w:tab w:val="clear" w:pos="5310"/>
          <w:tab w:val="clear" w:pos="7560"/>
        </w:tabs>
        <w:ind w:left="567"/>
        <w:jc w:val="both"/>
        <w:rPr>
          <w:iCs/>
          <w:sz w:val="22"/>
          <w:szCs w:val="22"/>
        </w:rPr>
      </w:pPr>
    </w:p>
    <w:p>
      <w:pPr>
        <w:pStyle w:val="BodyText3"/>
        <w:tabs>
          <w:tab w:val="clear" w:pos="539"/>
          <w:tab w:val="clear" w:pos="5310"/>
          <w:tab w:val="clear" w:pos="7560"/>
        </w:tabs>
        <w:ind w:left="709"/>
        <w:jc w:val="both"/>
        <w:rPr>
          <w:iCs/>
          <w:sz w:val="22"/>
          <w:szCs w:val="22"/>
        </w:rPr>
      </w:pPr>
      <w:r>
        <w:rPr>
          <w:iCs/>
          <w:sz w:val="22"/>
          <w:szCs w:val="22"/>
        </w:rPr>
        <w:t>Cari dönem içinde sermaye yedeklerinden sermayeye ilave edilen kısım b</w:t>
      </w:r>
      <w:r>
        <w:rPr>
          <w:iCs/>
          <w:sz w:val="22"/>
          <w:szCs w:val="22"/>
        </w:rPr>
        <w:t>ulunmamaktadır.</w:t>
      </w:r>
    </w:p>
    <w:p>
      <w:pPr>
        <w:tabs>
          <w:tab w:val="left" w:pos="-2160"/>
        </w:tabs>
        <w:jc w:val="both"/>
        <w:rPr>
          <w:b/>
          <w:bCs/>
          <w:sz w:val="22"/>
          <w:szCs w:val="22"/>
        </w:rPr>
      </w:pPr>
    </w:p>
    <w:p>
      <w:pPr>
        <w:tabs>
          <w:tab w:val="left" w:pos="-2160"/>
        </w:tabs>
        <w:ind w:left="709" w:hanging="709"/>
        <w:jc w:val="both"/>
        <w:rPr>
          <w:b/>
          <w:bCs/>
          <w:sz w:val="22"/>
          <w:szCs w:val="22"/>
        </w:rPr>
      </w:pPr>
      <w:r>
        <w:rPr>
          <w:b/>
          <w:bCs/>
          <w:sz w:val="22"/>
          <w:szCs w:val="22"/>
        </w:rPr>
        <w:t>11.d)</w:t>
      </w:r>
      <w:r>
        <w:rPr>
          <w:b/>
          <w:bCs/>
          <w:sz w:val="22"/>
          <w:szCs w:val="22"/>
        </w:rPr>
        <w:tab/>
      </w:r>
      <w:r>
        <w:rPr>
          <w:b/>
          <w:bCs/>
          <w:sz w:val="22"/>
          <w:szCs w:val="22"/>
        </w:rPr>
        <w:t>Son mali yılın ve onu takip eden ara dönemin sonuna kadar olan sermaye taahhütleri</w:t>
      </w:r>
      <w:r>
        <w:rPr>
          <w:b/>
          <w:bCs/>
          <w:sz w:val="22"/>
          <w:szCs w:val="22"/>
        </w:rPr>
        <w:t>,</w:t>
      </w:r>
      <w:r>
        <w:rPr>
          <w:b/>
          <w:bCs/>
          <w:sz w:val="22"/>
          <w:szCs w:val="22"/>
        </w:rPr>
        <w:t xml:space="preserve"> bu taahhütlerin genel amacı ve bu taahhütler için gerekli tahmini kaynaklar:</w:t>
      </w:r>
    </w:p>
    <w:p>
      <w:pPr>
        <w:jc w:val="both"/>
        <w:rPr>
          <w:sz w:val="16"/>
          <w:szCs w:val="16"/>
        </w:rPr>
      </w:pPr>
    </w:p>
    <w:p>
      <w:pPr>
        <w:pStyle w:val="BodyText"/>
        <w:tabs>
          <w:tab w:val="clear" w:pos="0"/>
          <w:tab w:val="clear" w:pos="567"/>
          <w:tab w:val="clear" w:pos="720"/>
        </w:tabs>
        <w:ind w:left="709"/>
        <w:rPr>
          <w:sz w:val="22"/>
          <w:szCs w:val="22"/>
        </w:rPr>
      </w:pPr>
      <w:r>
        <w:rPr>
          <w:sz w:val="22"/>
          <w:szCs w:val="22"/>
        </w:rPr>
        <w:t>Sermaye harcamalarına yönelik taahhüt olmamıştır.</w:t>
      </w:r>
    </w:p>
    <w:p>
      <w:pPr>
        <w:pStyle w:val="BodyText"/>
        <w:tabs>
          <w:tab w:val="clear" w:pos="0"/>
          <w:tab w:val="clear" w:pos="567"/>
          <w:tab w:val="clear" w:pos="720"/>
        </w:tabs>
        <w:ind w:left="567"/>
        <w:rPr>
          <w:b/>
          <w:bCs/>
          <w:sz w:val="16"/>
          <w:szCs w:val="16"/>
        </w:rPr>
      </w:pPr>
    </w:p>
    <w:p>
      <w:pPr>
        <w:ind w:left="709" w:hanging="709"/>
        <w:jc w:val="both"/>
        <w:rPr>
          <w:b/>
          <w:bCs/>
          <w:sz w:val="22"/>
          <w:szCs w:val="22"/>
        </w:rPr>
      </w:pPr>
      <w:r>
        <w:rPr>
          <w:b/>
          <w:bCs/>
          <w:sz w:val="22"/>
          <w:szCs w:val="22"/>
        </w:rPr>
        <w:t>11.e)</w:t>
      </w:r>
      <w:r>
        <w:rPr>
          <w:b/>
          <w:bCs/>
          <w:sz w:val="22"/>
          <w:szCs w:val="22"/>
        </w:rPr>
        <w:tab/>
      </w:r>
      <w:r>
        <w:rPr>
          <w:b/>
          <w:bCs/>
          <w:sz w:val="22"/>
          <w:szCs w:val="22"/>
        </w:rPr>
        <w:t>Banka</w:t>
      </w:r>
      <w:r>
        <w:rPr>
          <w:b/>
          <w:bCs/>
          <w:sz w:val="22"/>
          <w:szCs w:val="22"/>
        </w:rPr>
        <w:t>’</w:t>
      </w:r>
      <w:r>
        <w:rPr>
          <w:b/>
          <w:bCs/>
          <w:sz w:val="22"/>
          <w:szCs w:val="22"/>
        </w:rPr>
        <w:t>nın gelirleri</w:t>
      </w:r>
      <w:r>
        <w:rPr>
          <w:b/>
          <w:bCs/>
          <w:sz w:val="22"/>
          <w:szCs w:val="22"/>
        </w:rPr>
        <w:t>,</w:t>
      </w:r>
      <w:r>
        <w:rPr>
          <w:b/>
          <w:bCs/>
          <w:sz w:val="22"/>
          <w:szCs w:val="22"/>
        </w:rPr>
        <w:t xml:space="preserve"> k</w:t>
      </w:r>
      <w:r>
        <w:rPr>
          <w:b/>
          <w:bCs/>
          <w:sz w:val="22"/>
          <w:szCs w:val="22"/>
        </w:rPr>
        <w:t>a</w:t>
      </w:r>
      <w:r>
        <w:rPr>
          <w:b/>
          <w:bCs/>
          <w:sz w:val="22"/>
          <w:szCs w:val="22"/>
        </w:rPr>
        <w:t>rlılığı ve likiditesine ilişkin geçmiş dönem göstergeleri ile bu göstergelerdeki belirsizlikler dikkate alınarak yapılacak öngörülerin</w:t>
      </w:r>
      <w:r>
        <w:rPr>
          <w:b/>
          <w:bCs/>
          <w:sz w:val="22"/>
          <w:szCs w:val="22"/>
        </w:rPr>
        <w:t>,</w:t>
      </w:r>
      <w:r>
        <w:rPr>
          <w:b/>
          <w:bCs/>
          <w:sz w:val="22"/>
          <w:szCs w:val="22"/>
        </w:rPr>
        <w:t xml:space="preserve"> özkaynak üzerindeki tahmini etkileri:</w:t>
      </w:r>
    </w:p>
    <w:p>
      <w:pPr>
        <w:pStyle w:val="BodyText3"/>
        <w:tabs>
          <w:tab w:val="clear" w:pos="539"/>
          <w:tab w:val="clear" w:pos="5310"/>
          <w:tab w:val="clear" w:pos="7560"/>
        </w:tabs>
        <w:ind w:left="567"/>
        <w:jc w:val="both"/>
        <w:rPr>
          <w:b/>
          <w:bCs/>
          <w:i/>
          <w:iCs/>
        </w:rPr>
      </w:pPr>
    </w:p>
    <w:p>
      <w:pPr>
        <w:pStyle w:val="BodyText3"/>
        <w:tabs>
          <w:tab w:val="clear" w:pos="539"/>
          <w:tab w:val="clear" w:pos="5310"/>
          <w:tab w:val="clear" w:pos="7560"/>
        </w:tabs>
        <w:ind w:left="709"/>
        <w:jc w:val="both"/>
        <w:rPr>
          <w:iCs/>
          <w:sz w:val="22"/>
          <w:szCs w:val="22"/>
        </w:rPr>
      </w:pPr>
      <w:r>
        <w:rPr>
          <w:iCs/>
          <w:sz w:val="22"/>
          <w:szCs w:val="22"/>
        </w:rPr>
        <w:t>Ban</w:t>
      </w:r>
      <w:r>
        <w:rPr>
          <w:iCs/>
          <w:sz w:val="22"/>
          <w:szCs w:val="22"/>
        </w:rPr>
        <w:t>ka</w:t>
      </w:r>
      <w:r>
        <w:rPr>
          <w:iCs/>
          <w:sz w:val="22"/>
          <w:szCs w:val="22"/>
        </w:rPr>
        <w:t>’</w:t>
      </w:r>
      <w:r>
        <w:rPr>
          <w:iCs/>
          <w:sz w:val="22"/>
          <w:szCs w:val="22"/>
        </w:rPr>
        <w:t>nın geçmiş dönem gelirleri</w:t>
      </w:r>
      <w:r>
        <w:rPr>
          <w:iCs/>
          <w:sz w:val="22"/>
          <w:szCs w:val="22"/>
        </w:rPr>
        <w:t>,</w:t>
      </w:r>
      <w:r>
        <w:rPr>
          <w:iCs/>
          <w:sz w:val="22"/>
          <w:szCs w:val="22"/>
        </w:rPr>
        <w:t xml:space="preserve"> k</w:t>
      </w:r>
      <w:r>
        <w:rPr>
          <w:iCs/>
          <w:sz w:val="22"/>
          <w:szCs w:val="22"/>
        </w:rPr>
        <w:t>a</w:t>
      </w:r>
      <w:r>
        <w:rPr>
          <w:iCs/>
          <w:sz w:val="22"/>
          <w:szCs w:val="22"/>
        </w:rPr>
        <w:t xml:space="preserve">rlılığı ve likiditesi ile gelecek dönemlerdeki projeksiyonlar </w:t>
      </w:r>
      <w:r>
        <w:rPr>
          <w:iCs/>
          <w:sz w:val="22"/>
          <w:szCs w:val="22"/>
        </w:rPr>
        <w:t>İş, Ürün ve</w:t>
      </w:r>
      <w:r>
        <w:rPr>
          <w:iCs/>
          <w:sz w:val="22"/>
          <w:szCs w:val="22"/>
        </w:rPr>
        <w:t xml:space="preserve"> </w:t>
      </w:r>
      <w:r>
        <w:rPr>
          <w:iCs/>
          <w:sz w:val="22"/>
          <w:szCs w:val="22"/>
        </w:rPr>
        <w:t xml:space="preserve">Planlama Daire Başkanlığı </w:t>
      </w:r>
      <w:r>
        <w:rPr>
          <w:iCs/>
          <w:sz w:val="22"/>
          <w:szCs w:val="22"/>
        </w:rPr>
        <w:t>tarafından takip edilmektedir. Ülke ekonomisindeki mevcut koşullar ve Banka</w:t>
      </w:r>
      <w:r>
        <w:rPr>
          <w:iCs/>
          <w:sz w:val="22"/>
          <w:szCs w:val="22"/>
        </w:rPr>
        <w:t>’</w:t>
      </w:r>
      <w:r>
        <w:rPr>
          <w:iCs/>
          <w:sz w:val="22"/>
          <w:szCs w:val="22"/>
        </w:rPr>
        <w:t xml:space="preserve">nın geçmiş dönem performansı </w:t>
      </w:r>
      <w:r>
        <w:rPr>
          <w:iCs/>
          <w:sz w:val="22"/>
          <w:szCs w:val="22"/>
        </w:rPr>
        <w:t>göz önüne alındığında; gelir</w:t>
      </w:r>
      <w:r>
        <w:rPr>
          <w:iCs/>
          <w:sz w:val="22"/>
          <w:szCs w:val="22"/>
        </w:rPr>
        <w:t>,</w:t>
      </w:r>
      <w:r>
        <w:rPr>
          <w:iCs/>
          <w:sz w:val="22"/>
          <w:szCs w:val="22"/>
        </w:rPr>
        <w:t xml:space="preserve"> k</w:t>
      </w:r>
      <w:r>
        <w:rPr>
          <w:iCs/>
          <w:sz w:val="22"/>
          <w:szCs w:val="22"/>
        </w:rPr>
        <w:t>a</w:t>
      </w:r>
      <w:r>
        <w:rPr>
          <w:iCs/>
          <w:sz w:val="22"/>
          <w:szCs w:val="22"/>
        </w:rPr>
        <w:t>rlılık ve likiditeye ilişkin yapılan öngörü çerçevesinde önümüzdeki dönemde Banka</w:t>
      </w:r>
      <w:r>
        <w:rPr>
          <w:iCs/>
          <w:sz w:val="22"/>
          <w:szCs w:val="22"/>
        </w:rPr>
        <w:t>’</w:t>
      </w:r>
      <w:r>
        <w:rPr>
          <w:iCs/>
          <w:sz w:val="22"/>
          <w:szCs w:val="22"/>
        </w:rPr>
        <w:t xml:space="preserve">nın özkaynak artış hızını koruyacağı ve sermaye yeterlilik rasyosunda </w:t>
      </w:r>
      <w:r>
        <w:rPr>
          <w:iCs/>
          <w:sz w:val="22"/>
          <w:szCs w:val="22"/>
        </w:rPr>
        <w:t>önemli ölçüde</w:t>
      </w:r>
      <w:r>
        <w:rPr>
          <w:iCs/>
          <w:sz w:val="22"/>
          <w:szCs w:val="22"/>
        </w:rPr>
        <w:t xml:space="preserve"> sıkıntı yaşamayacağı tahmin edilmektedir.</w:t>
      </w:r>
    </w:p>
    <w:p>
      <w:pPr>
        <w:pStyle w:val="Heading4"/>
        <w:ind w:left="709" w:hanging="709"/>
        <w:rPr>
          <w:b w:val="0"/>
          <w:bCs w:val="0"/>
          <w:sz w:val="22"/>
          <w:szCs w:val="22"/>
        </w:rPr>
      </w:pPr>
      <w:r>
        <w:rPr>
          <w:b w:val="0"/>
          <w:bCs w:val="0"/>
          <w:sz w:val="22"/>
          <w:szCs w:val="22"/>
        </w:rPr>
        <w:br w:type="page"/>
      </w:r>
    </w:p>
    <w:p>
      <w:pPr>
        <w:pStyle w:val="Heading4"/>
        <w:ind w:left="709" w:hanging="709"/>
        <w:rPr>
          <w:rFonts w:ascii="Times New Roman" w:hAnsi="Times New Roman"/>
          <w:sz w:val="22"/>
          <w:szCs w:val="22"/>
        </w:rPr>
      </w:pPr>
    </w:p>
    <w:p>
      <w:pPr>
        <w:pStyle w:val="Heading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b/>
          <w:bCs/>
          <w:sz w:val="22"/>
          <w:szCs w:val="22"/>
        </w:rPr>
      </w:pPr>
      <w:r>
        <w:rPr>
          <w:b/>
          <w:bCs/>
          <w:sz w:val="22"/>
          <w:szCs w:val="22"/>
        </w:rPr>
        <w:t>11.f)</w:t>
      </w:r>
      <w:r>
        <w:rPr>
          <w:b/>
          <w:bCs/>
          <w:sz w:val="22"/>
          <w:szCs w:val="22"/>
        </w:rPr>
        <w:tab/>
      </w:r>
      <w:r>
        <w:rPr>
          <w:b/>
          <w:bCs/>
          <w:sz w:val="22"/>
          <w:szCs w:val="22"/>
        </w:rPr>
        <w:t>Sermayeyi temsil eden hisse senetlerine tanınan imtiyazlara ilişkin özet bilgiler:</w:t>
      </w:r>
    </w:p>
    <w:p>
      <w:pPr>
        <w:ind w:left="567"/>
        <w:jc w:val="both"/>
        <w:rPr>
          <w:b/>
          <w:bCs/>
          <w:sz w:val="22"/>
          <w:szCs w:val="22"/>
        </w:rPr>
      </w:pPr>
    </w:p>
    <w:p>
      <w:pPr>
        <w:pStyle w:val="BodyText"/>
        <w:tabs>
          <w:tab w:val="clear" w:pos="0"/>
          <w:tab w:val="clear" w:pos="567"/>
          <w:tab w:val="clear" w:pos="720"/>
        </w:tabs>
        <w:ind w:left="709"/>
        <w:rPr>
          <w:sz w:val="22"/>
          <w:szCs w:val="22"/>
        </w:rPr>
      </w:pPr>
      <w:r>
        <w:rPr>
          <w:sz w:val="22"/>
          <w:szCs w:val="22"/>
        </w:rPr>
        <w:t>Banka’nın sermayeyi temsil eden hisse senetlerine tanınan imtiyaz bulunmamaktadır.</w:t>
      </w:r>
    </w:p>
    <w:p>
      <w:pPr>
        <w:pStyle w:val="BodyText"/>
        <w:tabs>
          <w:tab w:val="clear" w:pos="0"/>
          <w:tab w:val="clear" w:pos="567"/>
          <w:tab w:val="clear" w:pos="720"/>
        </w:tabs>
        <w:rPr>
          <w:sz w:val="22"/>
          <w:szCs w:val="22"/>
          <w:lang w:eastAsia="en-US"/>
        </w:rPr>
      </w:pPr>
    </w:p>
    <w:p>
      <w:pPr>
        <w:jc w:val="both"/>
        <w:rPr>
          <w:b/>
          <w:bCs/>
          <w:sz w:val="22"/>
          <w:szCs w:val="22"/>
        </w:rPr>
      </w:pPr>
      <w:r>
        <w:rPr>
          <w:b/>
          <w:bCs/>
          <w:sz w:val="22"/>
          <w:szCs w:val="22"/>
        </w:rPr>
        <w:t>11.g)</w:t>
      </w:r>
      <w:r>
        <w:rPr>
          <w:b/>
          <w:bCs/>
          <w:sz w:val="22"/>
          <w:szCs w:val="22"/>
        </w:rPr>
        <w:tab/>
      </w:r>
      <w:r>
        <w:rPr>
          <w:b/>
          <w:bCs/>
          <w:sz w:val="22"/>
          <w:szCs w:val="22"/>
        </w:rPr>
        <w:t>Menkul değerler değer artış fonuna ilişkin bilgiler:</w:t>
      </w:r>
    </w:p>
    <w:p>
      <w:pPr>
        <w:ind w:left="567"/>
        <w:jc w:val="both"/>
        <w:rPr>
          <w:b/>
          <w:bCs/>
          <w:sz w:val="22"/>
          <w:szCs w:val="22"/>
        </w:rPr>
      </w:pPr>
      <w:r>
        <w:rPr>
          <w:b/>
          <w:bCs/>
          <w:sz w:val="22"/>
          <w:szCs w:val="22"/>
        </w:rPr>
        <w:t xml:space="preserve"> </w:t>
      </w:r>
    </w:p>
    <w:tbl>
      <w:tblPr>
        <w:tblW w:w="9111" w:type="dxa"/>
        <w:tblInd w:w="779" w:type="dxa"/>
        <w:tblLayout w:type="fixed"/>
        <w:tblCellMar>
          <w:left w:w="70" w:type="dxa"/>
          <w:right w:w="70" w:type="dxa"/>
        </w:tblCellMar>
        <w:tblLook w:val="00A0"/>
      </w:tblPr>
      <w:tblGrid>
        <w:gridCol w:w="4253"/>
        <w:gridCol w:w="1276"/>
        <w:gridCol w:w="1225"/>
        <w:gridCol w:w="1275"/>
        <w:gridCol w:w="1082"/>
      </w:tblGrid>
      <w:tr>
        <w:trPr>
          <w:cantSplit/>
          <w:trHeight w:val="255"/>
        </w:trPr>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357"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4253"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76"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2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7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082"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 xml:space="preserve">İştirakler, Bağlı Ortaklıklar ve Birlikte Kontrol </w:t>
            </w:r>
          </w:p>
          <w:p>
            <w:pPr>
              <w:ind w:firstLineChars="118" w:firstLine="212"/>
              <w:rPr>
                <w:sz w:val="18"/>
                <w:szCs w:val="18"/>
              </w:rPr>
            </w:pPr>
            <w:r>
              <w:rPr>
                <w:sz w:val="18"/>
                <w:szCs w:val="18"/>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r>
              <w:rPr>
                <w:sz w:val="18"/>
                <w:szCs w:val="18"/>
              </w:rPr>
              <w:t>561</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ind w:firstLineChars="118" w:firstLine="212"/>
              <w:rPr>
                <w:sz w:val="18"/>
                <w:szCs w:val="18"/>
              </w:rPr>
            </w:pPr>
            <w:r>
              <w:rPr>
                <w:sz w:val="18"/>
                <w:szCs w:val="18"/>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r>
              <w:rPr>
                <w:sz w:val="18"/>
                <w:szCs w:val="18"/>
              </w:rPr>
              <w:t>561</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
      <w:pPr>
        <w:jc w:val="both"/>
        <w:rPr>
          <w:b/>
          <w:bCs/>
          <w:sz w:val="22"/>
          <w:szCs w:val="22"/>
        </w:rPr>
      </w:pPr>
      <w:r>
        <w:rPr>
          <w:b/>
          <w:bCs/>
          <w:sz w:val="22"/>
          <w:szCs w:val="22"/>
        </w:rPr>
        <w:t>12.</w:t>
      </w:r>
      <w:r>
        <w:rPr>
          <w:b/>
          <w:bCs/>
          <w:sz w:val="22"/>
          <w:szCs w:val="22"/>
        </w:rPr>
        <w:tab/>
        <w:t>Azınlık paylarına ilişkin açıklamalar:</w:t>
      </w:r>
    </w:p>
    <w:p>
      <w:pPr>
        <w:rPr>
          <w:sz w:val="22"/>
          <w:szCs w:val="22"/>
        </w:rPr>
      </w:pPr>
    </w:p>
    <w:p>
      <w:pPr>
        <w:ind w:left="709"/>
        <w:rPr>
          <w:sz w:val="22"/>
          <w:szCs w:val="22"/>
        </w:rPr>
      </w:pPr>
      <w:r>
        <w:rPr>
          <w:sz w:val="22"/>
          <w:szCs w:val="22"/>
        </w:rPr>
        <w:t>Bulunmamaktadır.</w:t>
      </w:r>
    </w:p>
    <w:p/>
    <w:p/>
    <w:p>
      <w:pPr>
        <w:rPr>
          <w:sz w:val="22"/>
          <w:szCs w:val="22"/>
        </w:rPr>
      </w:pPr>
      <w:r>
        <w:br w:type="page"/>
      </w:r>
    </w:p>
    <w:p>
      <w:pPr>
        <w:pStyle w:val="Heading4"/>
        <w:ind w:left="709" w:hanging="709"/>
        <w:rPr>
          <w:rFonts w:ascii="Times New Roman" w:hAnsi="Times New Roman"/>
          <w:sz w:val="22"/>
          <w:szCs w:val="22"/>
        </w:rPr>
      </w:pPr>
    </w:p>
    <w:p>
      <w:pPr>
        <w:pStyle w:val="Heading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r>
      <w:r>
        <w:rPr>
          <w:rFonts w:ascii="Times New Roman" w:hAnsi="Times New Roman"/>
          <w:sz w:val="22"/>
          <w:szCs w:val="22"/>
        </w:rPr>
        <w:t>Nazım hesaplar</w:t>
      </w:r>
      <w:r>
        <w:rPr>
          <w:rFonts w:ascii="Times New Roman" w:hAnsi="Times New Roman"/>
          <w:sz w:val="22"/>
          <w:szCs w:val="22"/>
        </w:rPr>
        <w:t>a ilişkin açıklama ve dipnotlar</w:t>
      </w:r>
    </w:p>
    <w:p>
      <w:pPr>
        <w:pStyle w:val="BodyText"/>
        <w:tabs>
          <w:tab w:val="clear" w:pos="0"/>
        </w:tabs>
        <w:ind w:left="567"/>
        <w:rPr>
          <w:sz w:val="22"/>
          <w:szCs w:val="22"/>
        </w:rPr>
      </w:pPr>
    </w:p>
    <w:p>
      <w:pPr>
        <w:jc w:val="both"/>
        <w:rPr>
          <w:b/>
          <w:bCs/>
          <w:sz w:val="22"/>
          <w:szCs w:val="22"/>
        </w:rPr>
      </w:pPr>
      <w:r>
        <w:rPr>
          <w:b/>
          <w:bCs/>
          <w:sz w:val="22"/>
          <w:szCs w:val="22"/>
        </w:rPr>
        <w:t>1.</w:t>
      </w:r>
      <w:r>
        <w:rPr>
          <w:b/>
          <w:bCs/>
          <w:sz w:val="22"/>
          <w:szCs w:val="22"/>
        </w:rPr>
        <w:tab/>
      </w:r>
      <w:r>
        <w:rPr>
          <w:b/>
          <w:bCs/>
          <w:sz w:val="22"/>
          <w:szCs w:val="22"/>
        </w:rPr>
        <w:t>Nazım hesaplarda yer alan yükümlülüklere ilişkin açıklama:</w:t>
      </w:r>
    </w:p>
    <w:p>
      <w:pPr>
        <w:ind w:left="567"/>
        <w:jc w:val="both"/>
        <w:rPr>
          <w:b/>
          <w:bCs/>
          <w:sz w:val="22"/>
          <w:szCs w:val="22"/>
        </w:rPr>
      </w:pPr>
    </w:p>
    <w:p>
      <w:pPr>
        <w:tabs>
          <w:tab w:val="left" w:pos="-2160"/>
        </w:tabs>
        <w:rPr>
          <w:b/>
          <w:bCs/>
          <w:sz w:val="22"/>
          <w:szCs w:val="22"/>
        </w:rPr>
      </w:pPr>
      <w:r>
        <w:rPr>
          <w:b/>
          <w:bCs/>
          <w:sz w:val="22"/>
          <w:szCs w:val="22"/>
        </w:rPr>
        <w:t>1.a)</w:t>
      </w:r>
      <w:r>
        <w:rPr>
          <w:b/>
          <w:bCs/>
          <w:sz w:val="22"/>
          <w:szCs w:val="22"/>
        </w:rPr>
        <w:tab/>
      </w:r>
      <w:r>
        <w:rPr>
          <w:b/>
          <w:bCs/>
          <w:sz w:val="22"/>
          <w:szCs w:val="22"/>
        </w:rPr>
        <w:t>Gayri kabili rücu nitelikteki kredi taahhütlerinin türü ve miktarı:</w:t>
      </w:r>
    </w:p>
    <w:p>
      <w:pPr>
        <w:tabs>
          <w:tab w:val="left" w:pos="-2160"/>
          <w:tab w:val="left" w:pos="720"/>
        </w:tabs>
        <w:ind w:left="567"/>
        <w:rPr>
          <w:b/>
          <w:bCs/>
          <w:sz w:val="22"/>
          <w:szCs w:val="22"/>
        </w:rPr>
      </w:pPr>
    </w:p>
    <w:tbl>
      <w:tblPr>
        <w:tblW w:w="9072" w:type="dxa"/>
        <w:tblInd w:w="817" w:type="dxa"/>
        <w:tblLook w:val="0000"/>
      </w:tblPr>
      <w:tblGrid>
        <w:gridCol w:w="4820"/>
        <w:gridCol w:w="2126"/>
        <w:gridCol w:w="2126"/>
      </w:tblGrid>
      <w:tr>
        <w:trPr>
          <w:trHeight w:val="315"/>
        </w:trPr>
        <w:tc>
          <w:tcPr>
            <w:tcW w:w="4820" w:type="dxa"/>
            <w:tcBorders>
              <w:top w:val="single" w:sz="4" w:space="0" w:color="auto"/>
              <w:left w:val="single" w:sz="4" w:space="0" w:color="auto"/>
              <w:bottom w:val="single" w:sz="4" w:space="0" w:color="auto"/>
              <w:right w:val="single" w:sz="4" w:space="0" w:color="auto"/>
            </w:tcBorders>
            <w:shd w:val="clear" w:color="auto" w:fill="auto"/>
            <w:noWrap/>
          </w:tcPr>
          <w:p>
            <w:pPr>
              <w:rPr>
                <w:lang w:eastAsia="en-US"/>
              </w:rPr>
            </w:pPr>
            <w:r>
              <w:rPr>
                <w:lang w:eastAsia="en-US"/>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Cari Dö</w:t>
            </w:r>
            <w:r>
              <w:rPr>
                <w:b/>
                <w:bCs/>
                <w:sz w:val="18"/>
                <w:szCs w:val="18"/>
              </w:rPr>
              <w:t>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tcPr>
          <w:p>
            <w:pPr>
              <w:rPr>
                <w:sz w:val="18"/>
                <w:szCs w:val="18"/>
                <w:lang w:val="en-US" w:eastAsia="en-US"/>
              </w:rPr>
            </w:pPr>
            <w:r>
              <w:rPr>
                <w:sz w:val="18"/>
                <w:szCs w:val="18"/>
                <w:lang w:val="en-US" w:eastAsia="en-US"/>
              </w:rPr>
              <w:t>Vadeli Aktif Değerler Alım/Satım Taahhütleri</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1.000</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tcPr>
          <w:p>
            <w:pPr>
              <w:rPr>
                <w:sz w:val="18"/>
                <w:szCs w:val="18"/>
                <w:lang w:val="en-US" w:eastAsia="en-US"/>
              </w:rPr>
            </w:pPr>
            <w:r>
              <w:rPr>
                <w:sz w:val="18"/>
                <w:szCs w:val="18"/>
                <w:lang w:val="en-US" w:eastAsia="en-US"/>
              </w:rPr>
              <w:t>İştirak ve Bağlı Ortaklıklar Sermaye İştirak Taahhütleri</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21.094</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18.773</w:t>
            </w:r>
          </w:p>
        </w:tc>
      </w:tr>
      <w:tr>
        <w:trPr>
          <w:trHeight w:val="255"/>
        </w:trPr>
        <w:tc>
          <w:tcPr>
            <w:tcW w:w="4820"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r>
              <w:rPr>
                <w:sz w:val="18"/>
                <w:szCs w:val="18"/>
                <w:lang w:val="en-US" w:eastAsia="en-US"/>
              </w:rPr>
              <w:t>Toplam</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pPr>
              <w:jc w:val="right"/>
              <w:rPr>
                <w:sz w:val="18"/>
                <w:szCs w:val="18"/>
              </w:rPr>
            </w:pPr>
            <w:r>
              <w:rPr>
                <w:sz w:val="18"/>
                <w:szCs w:val="18"/>
              </w:rPr>
              <w:t>21.</w:t>
            </w:r>
            <w:r>
              <w:rPr>
                <w:sz w:val="18"/>
                <w:szCs w:val="18"/>
              </w:rPr>
              <w:t>094</w:t>
            </w:r>
          </w:p>
        </w:tc>
        <w:tc>
          <w:tcPr>
            <w:tcW w:w="2126"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19.773</w:t>
            </w:r>
          </w:p>
        </w:tc>
      </w:tr>
    </w:tbl>
    <w:p>
      <w:pPr>
        <w:pStyle w:val="BodyText3"/>
        <w:tabs>
          <w:tab w:val="clear" w:pos="539"/>
          <w:tab w:val="clear" w:pos="5310"/>
          <w:tab w:val="clear" w:pos="7560"/>
        </w:tabs>
        <w:ind w:left="567"/>
        <w:jc w:val="both"/>
        <w:rPr>
          <w:i/>
          <w:iCs/>
        </w:rPr>
      </w:pPr>
    </w:p>
    <w:p>
      <w:pPr>
        <w:tabs>
          <w:tab w:val="left" w:pos="-2160"/>
          <w:tab w:val="left" w:pos="-1418"/>
        </w:tabs>
        <w:ind w:left="709" w:hanging="709"/>
        <w:jc w:val="both"/>
        <w:rPr>
          <w:b/>
          <w:bCs/>
          <w:sz w:val="22"/>
          <w:szCs w:val="22"/>
        </w:rPr>
      </w:pPr>
      <w:r>
        <w:rPr>
          <w:b/>
          <w:bCs/>
          <w:sz w:val="22"/>
          <w:szCs w:val="22"/>
        </w:rPr>
        <w:t>1.b)</w:t>
      </w:r>
      <w:r>
        <w:rPr>
          <w:b/>
          <w:bCs/>
          <w:sz w:val="22"/>
          <w:szCs w:val="22"/>
        </w:rPr>
        <w:tab/>
      </w:r>
      <w:r>
        <w:rPr>
          <w:b/>
          <w:bCs/>
          <w:sz w:val="22"/>
          <w:szCs w:val="22"/>
        </w:rPr>
        <w:t>Aşağıdakiler dahil nazım hesap kalemlerinden kaynaklanan muhtemel zararların ve taahhütlerin yapısı ve tutarı:</w:t>
      </w:r>
    </w:p>
    <w:p>
      <w:pPr>
        <w:tabs>
          <w:tab w:val="left" w:pos="180"/>
        </w:tabs>
        <w:jc w:val="both"/>
        <w:rPr>
          <w:rFonts w:eastAsia="Arial Unicode MS"/>
          <w:bCs/>
          <w:sz w:val="16"/>
          <w:szCs w:val="16"/>
        </w:rPr>
      </w:pPr>
    </w:p>
    <w:p>
      <w:pPr>
        <w:ind w:left="709"/>
        <w:jc w:val="both"/>
        <w:rPr>
          <w:rFonts w:eastAsia="Arial Unicode MS"/>
          <w:bCs/>
          <w:sz w:val="22"/>
          <w:szCs w:val="22"/>
        </w:rPr>
      </w:pPr>
      <w:r>
        <w:rPr>
          <w:rFonts w:eastAsia="Arial Unicode MS"/>
          <w:bCs/>
          <w:sz w:val="22"/>
          <w:szCs w:val="22"/>
        </w:rPr>
        <w:t>Nazım hesap kalemlerinden kaynaklanan muhtemel zararlar bulunmamaktadır.</w:t>
      </w:r>
    </w:p>
    <w:p>
      <w:pPr>
        <w:pStyle w:val="BodyText3"/>
        <w:tabs>
          <w:tab w:val="clear" w:pos="539"/>
          <w:tab w:val="clear" w:pos="5310"/>
          <w:tab w:val="clear" w:pos="7560"/>
        </w:tabs>
        <w:jc w:val="both"/>
        <w:rPr>
          <w:b/>
          <w:bCs/>
        </w:rPr>
      </w:pPr>
    </w:p>
    <w:p>
      <w:pPr>
        <w:ind w:left="709" w:hanging="709"/>
        <w:jc w:val="both"/>
        <w:rPr>
          <w:b/>
          <w:bCs/>
          <w:sz w:val="22"/>
          <w:szCs w:val="22"/>
        </w:rPr>
      </w:pPr>
      <w:r>
        <w:rPr>
          <w:b/>
          <w:bCs/>
          <w:sz w:val="22"/>
          <w:szCs w:val="22"/>
        </w:rPr>
        <w:t>1.b.1)</w:t>
      </w:r>
      <w:r>
        <w:rPr>
          <w:b/>
          <w:bCs/>
          <w:sz w:val="22"/>
          <w:szCs w:val="22"/>
        </w:rPr>
        <w:tab/>
      </w:r>
      <w:r>
        <w:rPr>
          <w:b/>
          <w:bCs/>
          <w:sz w:val="22"/>
          <w:szCs w:val="22"/>
        </w:rPr>
        <w:t>Garantiler</w:t>
      </w:r>
      <w:r>
        <w:rPr>
          <w:b/>
          <w:bCs/>
          <w:sz w:val="22"/>
          <w:szCs w:val="22"/>
        </w:rPr>
        <w:t>,</w:t>
      </w:r>
      <w:r>
        <w:rPr>
          <w:b/>
          <w:bCs/>
          <w:sz w:val="22"/>
          <w:szCs w:val="22"/>
        </w:rPr>
        <w:t xml:space="preserve"> banka aval ve kabulleri ve mali garanti yerine geçen teminatlar ve diğer akreditifler dahil gayrinakdi krediler:</w:t>
      </w:r>
    </w:p>
    <w:p>
      <w:pPr>
        <w:ind w:left="567"/>
        <w:jc w:val="both"/>
        <w:rPr>
          <w:b/>
          <w:bCs/>
          <w:sz w:val="22"/>
          <w:szCs w:val="22"/>
        </w:rPr>
      </w:pPr>
    </w:p>
    <w:p>
      <w:pPr>
        <w:pStyle w:val="BodyText3"/>
        <w:tabs>
          <w:tab w:val="clear" w:pos="539"/>
          <w:tab w:val="clear" w:pos="5310"/>
          <w:tab w:val="clear" w:pos="7560"/>
        </w:tabs>
        <w:ind w:left="709"/>
        <w:jc w:val="both"/>
        <w:rPr>
          <w:iCs/>
          <w:sz w:val="22"/>
          <w:szCs w:val="22"/>
        </w:rPr>
      </w:pPr>
      <w:r>
        <w:rPr>
          <w:iCs/>
          <w:sz w:val="22"/>
          <w:szCs w:val="22"/>
        </w:rPr>
        <w:t>Banka</w:t>
      </w:r>
      <w:r>
        <w:rPr>
          <w:iCs/>
          <w:sz w:val="22"/>
          <w:szCs w:val="22"/>
        </w:rPr>
        <w:t xml:space="preserve">’nın </w:t>
      </w:r>
      <w:r>
        <w:rPr>
          <w:iCs/>
          <w:sz w:val="22"/>
          <w:szCs w:val="22"/>
        </w:rPr>
        <w:t xml:space="preserve">akreditif taahhütleri </w:t>
      </w:r>
      <w:r>
        <w:rPr>
          <w:iCs/>
          <w:sz w:val="22"/>
          <w:szCs w:val="22"/>
        </w:rPr>
        <w:t>88.431</w:t>
      </w:r>
      <w:r>
        <w:rPr>
          <w:iCs/>
          <w:sz w:val="22"/>
          <w:szCs w:val="22"/>
        </w:rPr>
        <w:t xml:space="preserve"> B</w:t>
      </w:r>
      <w:r>
        <w:rPr>
          <w:iCs/>
          <w:sz w:val="22"/>
          <w:szCs w:val="22"/>
        </w:rPr>
        <w:t>in TL</w:t>
      </w:r>
      <w:r>
        <w:rPr>
          <w:iCs/>
          <w:sz w:val="22"/>
          <w:szCs w:val="22"/>
        </w:rPr>
        <w:t xml:space="preserve"> (31</w:t>
      </w:r>
      <w:r>
        <w:rPr>
          <w:iCs/>
          <w:sz w:val="22"/>
          <w:szCs w:val="22"/>
        </w:rPr>
        <w:t xml:space="preserve"> Aralık </w:t>
      </w:r>
      <w:r>
        <w:rPr>
          <w:iCs/>
          <w:sz w:val="22"/>
          <w:szCs w:val="22"/>
        </w:rPr>
        <w:t>2010: 7.5</w:t>
      </w:r>
      <w:r>
        <w:rPr>
          <w:iCs/>
          <w:sz w:val="22"/>
          <w:szCs w:val="22"/>
        </w:rPr>
        <w:t>00 Bin TL)</w:t>
      </w:r>
      <w:r>
        <w:rPr>
          <w:iCs/>
          <w:sz w:val="22"/>
          <w:szCs w:val="22"/>
        </w:rPr>
        <w:t>’d</w:t>
      </w:r>
      <w:r>
        <w:rPr>
          <w:iCs/>
          <w:sz w:val="22"/>
          <w:szCs w:val="22"/>
        </w:rPr>
        <w:t>i</w:t>
      </w:r>
      <w:r>
        <w:rPr>
          <w:iCs/>
          <w:sz w:val="22"/>
          <w:szCs w:val="22"/>
        </w:rPr>
        <w:t>r.</w:t>
      </w:r>
      <w:r>
        <w:rPr>
          <w:iCs/>
          <w:sz w:val="22"/>
          <w:szCs w:val="22"/>
        </w:rPr>
        <w:t xml:space="preserve"> Garanti ve banka kredileri bulunmamaktadır.</w:t>
      </w:r>
    </w:p>
    <w:p>
      <w:pPr>
        <w:ind w:left="567"/>
        <w:jc w:val="both"/>
        <w:rPr>
          <w:sz w:val="22"/>
          <w:szCs w:val="22"/>
        </w:rPr>
      </w:pPr>
    </w:p>
    <w:p>
      <w:pPr>
        <w:pStyle w:val="1tipi"/>
        <w:tabs>
          <w:tab w:val="clear" w:pos="1134"/>
        </w:tabs>
        <w:rPr>
          <w:rFonts w:ascii="Times New Roman" w:hAnsi="Times New Roman" w:cs="Times New Roman"/>
          <w:b/>
          <w:bCs/>
          <w:sz w:val="22"/>
          <w:szCs w:val="22"/>
          <w:lang w:val="tr-TR" w:eastAsia="en-US"/>
        </w:rPr>
      </w:pPr>
      <w:r>
        <w:rPr>
          <w:rFonts w:ascii="Times New Roman" w:hAnsi="Times New Roman" w:cs="Times New Roman"/>
          <w:b/>
          <w:bCs/>
          <w:sz w:val="22"/>
          <w:szCs w:val="22"/>
          <w:lang w:val="tr-TR" w:eastAsia="en-US"/>
        </w:rPr>
        <w:t>1.b.2)</w:t>
      </w:r>
      <w:r>
        <w:rPr>
          <w:rFonts w:ascii="Times New Roman" w:hAnsi="Times New Roman" w:cs="Times New Roman"/>
          <w:b/>
          <w:bCs/>
          <w:sz w:val="22"/>
          <w:szCs w:val="22"/>
          <w:lang w:val="tr-TR" w:eastAsia="en-US"/>
        </w:rPr>
        <w:tab/>
      </w:r>
      <w:r>
        <w:rPr>
          <w:rFonts w:ascii="Times New Roman" w:hAnsi="Times New Roman" w:cs="Times New Roman"/>
          <w:b/>
          <w:bCs/>
          <w:sz w:val="22"/>
          <w:szCs w:val="22"/>
          <w:lang w:val="tr-TR" w:eastAsia="en-US"/>
        </w:rPr>
        <w:t>Kesin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geçici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kefaletler ve benzeri işlemler:</w:t>
      </w:r>
    </w:p>
    <w:p>
      <w:pPr>
        <w:ind w:left="567"/>
        <w:jc w:val="both"/>
        <w:rPr>
          <w:b/>
          <w:bCs/>
          <w:sz w:val="22"/>
          <w:szCs w:val="22"/>
        </w:rPr>
      </w:pPr>
    </w:p>
    <w:p>
      <w:pPr>
        <w:pStyle w:val="BodyText"/>
        <w:tabs>
          <w:tab w:val="clear" w:pos="0"/>
          <w:tab w:val="clear" w:pos="567"/>
          <w:tab w:val="clear" w:pos="720"/>
        </w:tabs>
        <w:ind w:left="709"/>
        <w:rPr>
          <w:sz w:val="22"/>
          <w:szCs w:val="22"/>
        </w:rPr>
      </w:pPr>
      <w:r>
        <w:rPr>
          <w:sz w:val="22"/>
          <w:szCs w:val="22"/>
        </w:rPr>
        <w:t>Banka</w:t>
      </w:r>
      <w:r>
        <w:rPr>
          <w:sz w:val="22"/>
          <w:szCs w:val="22"/>
        </w:rPr>
        <w:t>’</w:t>
      </w:r>
      <w:r>
        <w:rPr>
          <w:sz w:val="22"/>
          <w:szCs w:val="22"/>
        </w:rPr>
        <w:t>nın Türk Parası teminat me</w:t>
      </w:r>
      <w:r>
        <w:rPr>
          <w:sz w:val="22"/>
          <w:szCs w:val="22"/>
        </w:rPr>
        <w:t>ktuplarının toplam tutarı 47</w:t>
      </w:r>
      <w:r>
        <w:rPr>
          <w:sz w:val="22"/>
          <w:szCs w:val="22"/>
        </w:rPr>
        <w:t xml:space="preserve"> Bin TL’d</w:t>
      </w:r>
      <w:r>
        <w:rPr>
          <w:sz w:val="22"/>
          <w:szCs w:val="22"/>
        </w:rPr>
        <w:t>i</w:t>
      </w:r>
      <w:r>
        <w:rPr>
          <w:sz w:val="22"/>
          <w:szCs w:val="22"/>
        </w:rPr>
        <w:t>r</w:t>
      </w:r>
      <w:r>
        <w:rPr>
          <w:sz w:val="22"/>
          <w:szCs w:val="22"/>
        </w:rPr>
        <w:t xml:space="preserve"> (31 Aralık 20</w:t>
      </w:r>
      <w:r>
        <w:rPr>
          <w:sz w:val="22"/>
          <w:szCs w:val="22"/>
        </w:rPr>
        <w:t>10</w:t>
      </w:r>
      <w:r>
        <w:rPr>
          <w:sz w:val="22"/>
          <w:szCs w:val="22"/>
        </w:rPr>
        <w:t>: 47 Bin TL)</w:t>
      </w:r>
      <w:r>
        <w:rPr>
          <w:sz w:val="22"/>
          <w:szCs w:val="22"/>
        </w:rPr>
        <w:t>.</w:t>
      </w:r>
      <w:r>
        <w:rPr>
          <w:sz w:val="22"/>
          <w:szCs w:val="22"/>
        </w:rPr>
        <w:t xml:space="preserve"> Bu tutarın </w:t>
      </w:r>
      <w:r>
        <w:rPr>
          <w:sz w:val="22"/>
          <w:szCs w:val="22"/>
        </w:rPr>
        <w:t xml:space="preserve">1 </w:t>
      </w:r>
      <w:r>
        <w:rPr>
          <w:sz w:val="22"/>
          <w:szCs w:val="22"/>
        </w:rPr>
        <w:t xml:space="preserve">Bin TL’si </w:t>
      </w:r>
      <w:r>
        <w:rPr>
          <w:sz w:val="22"/>
          <w:szCs w:val="22"/>
        </w:rPr>
        <w:t xml:space="preserve"> (31 Aralık </w:t>
      </w:r>
      <w:r>
        <w:rPr>
          <w:sz w:val="22"/>
          <w:szCs w:val="22"/>
        </w:rPr>
        <w:t xml:space="preserve">2010: 1 Bin TL) </w:t>
      </w:r>
      <w:r>
        <w:rPr>
          <w:sz w:val="22"/>
          <w:szCs w:val="22"/>
        </w:rPr>
        <w:t>gümrük teminat mektubu, geri kalanı ise kesin teminat mektubudur.</w:t>
      </w:r>
    </w:p>
    <w:p>
      <w:pPr>
        <w:tabs>
          <w:tab w:val="left" w:pos="-2160"/>
          <w:tab w:val="left" w:pos="720"/>
        </w:tabs>
        <w:ind w:left="567"/>
        <w:rPr>
          <w:b/>
          <w:bCs/>
          <w:sz w:val="22"/>
          <w:szCs w:val="22"/>
        </w:rPr>
      </w:pPr>
    </w:p>
    <w:p>
      <w:pPr>
        <w:tabs>
          <w:tab w:val="left" w:pos="-2160"/>
        </w:tabs>
        <w:rPr>
          <w:b/>
          <w:bCs/>
          <w:sz w:val="22"/>
          <w:szCs w:val="22"/>
        </w:rPr>
      </w:pPr>
      <w:r>
        <w:rPr>
          <w:b/>
          <w:bCs/>
          <w:sz w:val="22"/>
          <w:szCs w:val="22"/>
        </w:rPr>
        <w:t>1.c.1)</w:t>
      </w:r>
      <w:r>
        <w:rPr>
          <w:b/>
          <w:bCs/>
          <w:sz w:val="22"/>
          <w:szCs w:val="22"/>
        </w:rPr>
        <w:tab/>
      </w:r>
      <w:r>
        <w:rPr>
          <w:b/>
          <w:bCs/>
          <w:sz w:val="22"/>
          <w:szCs w:val="22"/>
        </w:rPr>
        <w:t>Gayrinakdi kredilerin toplamı:</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tblPr>
      <w:tblGrid>
        <w:gridCol w:w="4820"/>
        <w:gridCol w:w="2126"/>
        <w:gridCol w:w="2126"/>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w:t>
            </w:r>
            <w:r>
              <w:rPr>
                <w:b/>
                <w:bCs/>
                <w:sz w:val="18"/>
                <w:szCs w:val="18"/>
              </w:rPr>
              <w:t>0</w:t>
            </w:r>
            <w:r>
              <w:rPr>
                <w:b/>
                <w:bCs/>
                <w:sz w:val="18"/>
                <w:szCs w:val="18"/>
              </w:rPr>
              <w:t>)</w:t>
            </w:r>
          </w:p>
        </w:tc>
      </w:tr>
      <w:tr>
        <w:trPr>
          <w:trHeight w:val="342"/>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Nakit Kredi Teminine Yönelik Olarak Açılan Gayrinakdi Krediler</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Bir Yıl veya Daha Az Süreli Asıl Vadeli</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Bir Yıldan Daha Uzun Süreli Asıl Vadeli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tcPr>
          <w:p>
            <w:pPr>
              <w:jc w:val="right"/>
              <w:rPr>
                <w:sz w:val="18"/>
                <w:szCs w:val="18"/>
              </w:rPr>
            </w:pPr>
            <w:r>
              <w:rPr>
                <w:sz w:val="18"/>
                <w:szCs w:val="18"/>
              </w:rPr>
              <w:t>- </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Gayrinakdi Krediler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88.478</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88.478</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bl>
    <w:p>
      <w:pPr>
        <w:jc w:val="both"/>
        <w:rPr>
          <w:b/>
          <w:bCs/>
          <w:sz w:val="22"/>
          <w:szCs w:val="22"/>
        </w:rPr>
      </w:pPr>
    </w:p>
    <w:p>
      <w:pPr>
        <w:jc w:val="both"/>
        <w:rPr>
          <w:b/>
          <w:bCs/>
          <w:sz w:val="22"/>
          <w:szCs w:val="22"/>
        </w:rPr>
      </w:pPr>
      <w:r>
        <w:rPr>
          <w:b/>
          <w:bCs/>
          <w:sz w:val="22"/>
          <w:szCs w:val="22"/>
        </w:rPr>
        <w:t>2.</w:t>
      </w:r>
      <w:r>
        <w:rPr>
          <w:b/>
          <w:bCs/>
          <w:sz w:val="22"/>
          <w:szCs w:val="22"/>
        </w:rPr>
        <w:tab/>
      </w:r>
      <w:r>
        <w:rPr>
          <w:b/>
          <w:bCs/>
          <w:sz w:val="22"/>
          <w:szCs w:val="22"/>
        </w:rPr>
        <w:t>Türev işlemlere ilişkin açıklamalar:</w:t>
      </w:r>
    </w:p>
    <w:p>
      <w:pPr>
        <w:jc w:val="both"/>
        <w:rPr>
          <w:b/>
          <w:bCs/>
          <w:sz w:val="12"/>
          <w:szCs w:val="12"/>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ind w:left="709"/>
        <w:jc w:val="both"/>
        <w:rPr>
          <w:iCs/>
          <w:sz w:val="22"/>
          <w:szCs w:val="22"/>
          <w:lang w:eastAsia="en-US"/>
        </w:rPr>
      </w:pPr>
      <w:r>
        <w:rPr>
          <w:iCs/>
          <w:sz w:val="22"/>
          <w:szCs w:val="22"/>
          <w:lang w:eastAsia="en-US"/>
        </w:rPr>
        <w:t xml:space="preserve"> </w:t>
      </w:r>
    </w:p>
    <w:p>
      <w:pPr>
        <w:rPr>
          <w:b/>
          <w:bCs/>
          <w:sz w:val="22"/>
          <w:szCs w:val="22"/>
        </w:rPr>
      </w:pPr>
      <w:r>
        <w:rPr>
          <w:b/>
          <w:bCs/>
          <w:sz w:val="22"/>
          <w:szCs w:val="22"/>
        </w:rPr>
        <w:t>3.</w:t>
      </w:r>
      <w:r>
        <w:rPr>
          <w:b/>
          <w:bCs/>
          <w:sz w:val="22"/>
          <w:szCs w:val="22"/>
        </w:rPr>
        <w:tab/>
      </w:r>
      <w:r>
        <w:rPr>
          <w:b/>
          <w:bCs/>
          <w:sz w:val="22"/>
          <w:szCs w:val="22"/>
        </w:rPr>
        <w:t xml:space="preserve">Koşullu borçlar </w:t>
      </w:r>
      <w:r>
        <w:rPr>
          <w:b/>
          <w:bCs/>
          <w:sz w:val="22"/>
          <w:szCs w:val="22"/>
        </w:rPr>
        <w:t>ve varlıklara ilişkin açıklamalar:</w:t>
      </w:r>
    </w:p>
    <w:p>
      <w:pPr>
        <w:ind w:firstLine="567"/>
        <w:rPr>
          <w:b/>
          <w:bCs/>
          <w:sz w:val="12"/>
          <w:szCs w:val="12"/>
        </w:rPr>
      </w:pPr>
    </w:p>
    <w:p>
      <w:pPr>
        <w:ind w:left="709"/>
        <w:jc w:val="both"/>
        <w:rPr>
          <w:iCs/>
          <w:sz w:val="22"/>
          <w:szCs w:val="22"/>
          <w:lang w:eastAsia="en-US"/>
        </w:rPr>
      </w:pPr>
      <w:r>
        <w:rPr>
          <w:iCs/>
          <w:sz w:val="22"/>
          <w:szCs w:val="22"/>
          <w:lang w:eastAsia="en-US"/>
        </w:rPr>
        <w:t>Banka, Lüksemburg mevzuatına tabi olarak, değişken sermayeli anonim şirket niteliğinde kurulmuş olan İstanbul Risk Sermayesi Girişimi (İstanbul V</w:t>
      </w:r>
      <w:r>
        <w:rPr>
          <w:iCs/>
          <w:sz w:val="22"/>
          <w:szCs w:val="22"/>
          <w:lang w:eastAsia="en-US"/>
        </w:rPr>
        <w:t>enture Capital Initiative – İVCI</w:t>
      </w:r>
      <w:r>
        <w:rPr>
          <w:iCs/>
          <w:sz w:val="22"/>
          <w:szCs w:val="22"/>
          <w:lang w:eastAsia="en-US"/>
        </w:rPr>
        <w:t xml:space="preserve">-A Luxemburg Investment Company Fund) ‘’A Grubu’’ hisselerinden 10 Milyon EURO nominal bedelli payı satın almayı ve bu tutarı fonun yatırım planına göre belirleyeceği tarihte ödemeyi taahhüt etmiştir. Fonun başlangıçta taahhüt edilen sermayesi 150 Milyon EUR olup </w:t>
      </w:r>
      <w:r>
        <w:rPr>
          <w:sz w:val="22"/>
          <w:szCs w:val="22"/>
          <w:lang w:eastAsia="en-US"/>
        </w:rPr>
        <w:t xml:space="preserve">Mart 2009’da </w:t>
      </w:r>
      <w:r>
        <w:rPr>
          <w:iCs/>
          <w:sz w:val="22"/>
          <w:szCs w:val="22"/>
          <w:lang w:eastAsia="en-US"/>
        </w:rPr>
        <w:t xml:space="preserve">yeni katılımlarla taahhüt edilen sermayesi </w:t>
      </w:r>
      <w:r>
        <w:rPr>
          <w:sz w:val="22"/>
          <w:szCs w:val="22"/>
          <w:lang w:eastAsia="en-US"/>
        </w:rPr>
        <w:t xml:space="preserve">160 milyon EUR ya çıkarılmıştır. </w:t>
      </w:r>
      <w:r>
        <w:rPr>
          <w:iCs/>
          <w:sz w:val="22"/>
          <w:szCs w:val="22"/>
          <w:lang w:eastAsia="en-US"/>
        </w:rPr>
        <w:t>Bankanın katılımı söz konusu ş</w:t>
      </w:r>
      <w:r>
        <w:rPr>
          <w:iCs/>
          <w:sz w:val="22"/>
          <w:szCs w:val="22"/>
          <w:lang w:eastAsia="en-US"/>
        </w:rPr>
        <w:t xml:space="preserve">irketin yönetim kurulunca 13 Kasım </w:t>
      </w:r>
      <w:r>
        <w:rPr>
          <w:iCs/>
          <w:sz w:val="22"/>
          <w:szCs w:val="22"/>
          <w:lang w:eastAsia="en-US"/>
        </w:rPr>
        <w:t xml:space="preserve">2007 tarihinde onaylanmış ve aynı tarihte hisse satın alma sözleşmesi imzalanmıştır. </w:t>
      </w:r>
    </w:p>
    <w:p>
      <w:pPr>
        <w:ind w:left="709"/>
        <w:jc w:val="both"/>
        <w:rPr>
          <w:iCs/>
          <w:sz w:val="12"/>
          <w:szCs w:val="12"/>
          <w:lang w:eastAsia="en-US"/>
        </w:rPr>
      </w:pPr>
    </w:p>
    <w:p>
      <w:pPr>
        <w:ind w:left="709"/>
        <w:jc w:val="both"/>
        <w:rPr>
          <w:iCs/>
          <w:sz w:val="22"/>
          <w:szCs w:val="22"/>
          <w:lang w:eastAsia="en-US"/>
        </w:rPr>
      </w:pPr>
      <w:r>
        <w:rPr>
          <w:iCs/>
          <w:sz w:val="22"/>
          <w:szCs w:val="22"/>
          <w:lang w:eastAsia="en-US"/>
        </w:rPr>
        <w:t xml:space="preserve">07 Kasım </w:t>
      </w:r>
      <w:r>
        <w:rPr>
          <w:iCs/>
          <w:sz w:val="22"/>
          <w:szCs w:val="22"/>
          <w:lang w:eastAsia="en-US"/>
        </w:rPr>
        <w:t xml:space="preserve">2008 tarihinde 300.000 </w:t>
      </w:r>
      <w:r>
        <w:rPr>
          <w:iCs/>
          <w:sz w:val="22"/>
          <w:szCs w:val="22"/>
          <w:lang w:eastAsia="en-US"/>
        </w:rPr>
        <w:t>EUR</w:t>
      </w:r>
      <w:r>
        <w:rPr>
          <w:iCs/>
          <w:sz w:val="22"/>
          <w:szCs w:val="22"/>
          <w:lang w:eastAsia="en-US"/>
        </w:rPr>
        <w:t xml:space="preserve">, 06 Temmuz </w:t>
      </w:r>
      <w:r>
        <w:rPr>
          <w:iCs/>
          <w:sz w:val="22"/>
          <w:szCs w:val="22"/>
          <w:lang w:eastAsia="en-US"/>
        </w:rPr>
        <w:t>2009 tarihinde 218.750 EUR</w:t>
      </w:r>
      <w:r>
        <w:rPr>
          <w:iCs/>
          <w:sz w:val="22"/>
          <w:szCs w:val="22"/>
          <w:lang w:eastAsia="en-US"/>
        </w:rPr>
        <w:t xml:space="preserve">, 12 Kasım </w:t>
      </w:r>
      <w:r>
        <w:rPr>
          <w:iCs/>
          <w:sz w:val="22"/>
          <w:szCs w:val="22"/>
          <w:lang w:eastAsia="en-US"/>
        </w:rPr>
        <w:t>2010 tarihinde ise 281.250 EUR olmak üzere toplam 800.000</w:t>
      </w:r>
      <w:r>
        <w:rPr>
          <w:iCs/>
          <w:sz w:val="22"/>
          <w:szCs w:val="22"/>
          <w:lang w:eastAsia="en-US"/>
        </w:rPr>
        <w:t xml:space="preserve"> EUR sermaye payı </w:t>
      </w:r>
      <w:r>
        <w:rPr>
          <w:iCs/>
          <w:sz w:val="22"/>
          <w:szCs w:val="22"/>
          <w:lang w:eastAsia="en-US"/>
        </w:rPr>
        <w:t>ödemesi yapmıştır.</w:t>
      </w:r>
    </w:p>
    <w:p>
      <w:pPr>
        <w:ind w:left="709"/>
        <w:jc w:val="both"/>
        <w:rPr>
          <w:iCs/>
          <w:sz w:val="12"/>
          <w:szCs w:val="12"/>
          <w:lang w:eastAsia="en-US"/>
        </w:rPr>
      </w:pPr>
      <w:r>
        <w:rPr>
          <w:iCs/>
          <w:sz w:val="12"/>
          <w:szCs w:val="12"/>
          <w:lang w:eastAsia="en-US"/>
        </w:rPr>
        <w:br w:type="page"/>
      </w:r>
    </w:p>
    <w:p>
      <w:pPr>
        <w:pStyle w:val="Heading4"/>
        <w:ind w:left="709" w:hanging="709"/>
        <w:rPr>
          <w:rFonts w:ascii="Times New Roman" w:hAnsi="Times New Roman"/>
          <w:sz w:val="22"/>
          <w:szCs w:val="22"/>
        </w:rPr>
      </w:pPr>
    </w:p>
    <w:p>
      <w:pPr>
        <w:pStyle w:val="Heading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Nazım hesaplara ilişkin açıklama ve dipnotlar  (devam ediyor)</w:t>
      </w:r>
    </w:p>
    <w:p/>
    <w:p>
      <w:pPr>
        <w:ind w:left="709"/>
        <w:jc w:val="both"/>
        <w:rPr>
          <w:iCs/>
          <w:sz w:val="22"/>
          <w:szCs w:val="22"/>
          <w:lang w:eastAsia="en-US"/>
        </w:rPr>
      </w:pPr>
      <w:r>
        <w:rPr>
          <w:iCs/>
          <w:sz w:val="22"/>
          <w:szCs w:val="22"/>
          <w:lang w:eastAsia="en-US"/>
        </w:rPr>
        <w:t xml:space="preserve">Banka aleyhine açılan davalar arasında yer alan 1.493 Bin TL tutarındaki dava henüz kesinleşmemiştir. Banka aleyhine sonuçlanması muhtemel görülmemesi sebebiyle </w:t>
      </w:r>
      <w:r>
        <w:rPr>
          <w:iCs/>
          <w:sz w:val="22"/>
          <w:szCs w:val="22"/>
          <w:lang w:eastAsia="en-US"/>
        </w:rPr>
        <w:t xml:space="preserve">konsolide olmayan </w:t>
      </w:r>
      <w:r>
        <w:rPr>
          <w:iCs/>
          <w:sz w:val="22"/>
          <w:szCs w:val="22"/>
          <w:lang w:eastAsia="en-US"/>
        </w:rPr>
        <w:t>finansal tablolarda bu dava için karşılık ayrılmamıştır.</w:t>
      </w:r>
    </w:p>
    <w:p>
      <w:pPr>
        <w:rPr>
          <w:b/>
          <w:bCs/>
          <w:sz w:val="22"/>
          <w:szCs w:val="22"/>
        </w:rPr>
      </w:pPr>
    </w:p>
    <w:p>
      <w:pPr>
        <w:rPr>
          <w:b/>
          <w:bCs/>
          <w:sz w:val="22"/>
          <w:szCs w:val="22"/>
        </w:rPr>
      </w:pPr>
      <w:r>
        <w:rPr>
          <w:b/>
          <w:bCs/>
          <w:sz w:val="22"/>
          <w:szCs w:val="22"/>
        </w:rPr>
        <w:t>4.</w:t>
      </w:r>
      <w:r>
        <w:rPr>
          <w:b/>
          <w:bCs/>
          <w:sz w:val="22"/>
          <w:szCs w:val="22"/>
        </w:rPr>
        <w:tab/>
      </w:r>
      <w:r>
        <w:rPr>
          <w:b/>
          <w:bCs/>
          <w:sz w:val="22"/>
          <w:szCs w:val="22"/>
        </w:rPr>
        <w:t xml:space="preserve">Başkaları nam ve hesabına verilen </w:t>
      </w:r>
      <w:r>
        <w:rPr>
          <w:b/>
          <w:bCs/>
          <w:sz w:val="22"/>
          <w:szCs w:val="22"/>
        </w:rPr>
        <w:t>hizmetlere ilişkin açıklamalar:</w:t>
      </w:r>
    </w:p>
    <w:p>
      <w:pPr>
        <w:ind w:left="567"/>
        <w:jc w:val="both"/>
        <w:rPr>
          <w:sz w:val="22"/>
          <w:szCs w:val="22"/>
        </w:rPr>
      </w:pPr>
    </w:p>
    <w:p>
      <w:pPr>
        <w:ind w:left="567" w:firstLine="153"/>
        <w:rPr>
          <w:sz w:val="22"/>
          <w:szCs w:val="22"/>
        </w:rPr>
      </w:pPr>
      <w:r>
        <w:rPr>
          <w:sz w:val="22"/>
          <w:szCs w:val="22"/>
        </w:rPr>
        <w:t>Banka başkalarının nam ve hesabına menkul kıymet alım, satım ve saklama hizmetleri vermektedir.</w:t>
      </w:r>
    </w:p>
    <w:p>
      <w:pPr>
        <w:rPr>
          <w:b/>
          <w:bCs/>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r>
      <w:r>
        <w:rPr>
          <w:b/>
          <w:bCs/>
          <w:sz w:val="22"/>
          <w:szCs w:val="22"/>
        </w:rPr>
        <w:t>Gelir tablosuna ilişkin açıklama ve dipnotlar</w:t>
      </w:r>
      <w:r>
        <w:rPr>
          <w:b/>
          <w:bCs/>
          <w:sz w:val="22"/>
          <w:szCs w:val="22"/>
        </w:rPr>
        <w:t>:</w:t>
      </w:r>
    </w:p>
    <w:p>
      <w:pPr>
        <w:pStyle w:val="BodyText"/>
        <w:tabs>
          <w:tab w:val="clear" w:pos="567"/>
          <w:tab w:val="clear" w:pos="720"/>
          <w:tab w:val="left" w:pos="-1800"/>
        </w:tabs>
        <w:rPr>
          <w:b/>
          <w:bCs/>
        </w:rPr>
      </w:pPr>
    </w:p>
    <w:p>
      <w:pPr>
        <w:pStyle w:val="BodyText"/>
        <w:tabs>
          <w:tab w:val="clear" w:pos="567"/>
          <w:tab w:val="clear" w:pos="720"/>
          <w:tab w:val="left" w:pos="-1800"/>
        </w:tabs>
        <w:rPr>
          <w:b/>
          <w:bCs/>
          <w:sz w:val="22"/>
          <w:szCs w:val="22"/>
        </w:rPr>
      </w:pPr>
      <w:r>
        <w:rPr>
          <w:b/>
          <w:bCs/>
          <w:sz w:val="22"/>
          <w:szCs w:val="22"/>
        </w:rPr>
        <w:t>1.a)</w:t>
      </w:r>
      <w:r>
        <w:rPr>
          <w:b/>
          <w:bCs/>
          <w:sz w:val="22"/>
          <w:szCs w:val="22"/>
        </w:rPr>
        <w:tab/>
      </w:r>
      <w:r>
        <w:rPr>
          <w:b/>
          <w:bCs/>
          <w:sz w:val="22"/>
          <w:szCs w:val="22"/>
        </w:rPr>
        <w:t>Kredilerden alınan faiz gelirlerine ilişkin bilgiler:</w:t>
      </w:r>
    </w:p>
    <w:p>
      <w:pPr>
        <w:pStyle w:val="BodyText"/>
        <w:tabs>
          <w:tab w:val="clear" w:pos="567"/>
          <w:tab w:val="clear" w:pos="720"/>
          <w:tab w:val="left" w:pos="-1800"/>
        </w:tabs>
        <w:ind w:left="567"/>
        <w:rPr>
          <w:b/>
          <w:bCs/>
          <w:sz w:val="16"/>
          <w:szCs w:val="16"/>
        </w:rPr>
      </w:pPr>
    </w:p>
    <w:tbl>
      <w:tblPr>
        <w:tblW w:w="9127" w:type="dxa"/>
        <w:tblInd w:w="779" w:type="dxa"/>
        <w:tblLayout w:type="fixed"/>
        <w:tblCellMar>
          <w:left w:w="70" w:type="dxa"/>
          <w:right w:w="70" w:type="dxa"/>
        </w:tblCellMar>
        <w:tblLook w:val="00A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30.06</w:t>
            </w:r>
            <w:r>
              <w:rPr>
                <w:b/>
                <w:bCs/>
                <w:sz w:val="18"/>
                <w:szCs w:val="18"/>
              </w:rPr>
              <w:t>.20</w:t>
            </w:r>
            <w:r>
              <w:rPr>
                <w:b/>
                <w:bCs/>
                <w:sz w:val="18"/>
                <w:szCs w:val="18"/>
              </w:rPr>
              <w:t>1</w:t>
            </w:r>
            <w:r>
              <w:rPr>
                <w:b/>
                <w:bCs/>
                <w:sz w:val="18"/>
                <w:szCs w:val="18"/>
              </w:rPr>
              <w:t>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Kredilerden Alınan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14.824</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21.255</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13.171</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10.77</w:t>
            </w:r>
            <w:r>
              <w:rPr>
                <w:sz w:val="18"/>
                <w:szCs w:val="18"/>
              </w:rPr>
              <w:t>1</w:t>
            </w:r>
          </w:p>
        </w:tc>
      </w:tr>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2.267</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891</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10.305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w:t>
            </w:r>
            <w:r>
              <w:rPr>
                <w:sz w:val="18"/>
                <w:szCs w:val="18"/>
              </w:rPr>
              <w:t>988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10.814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w:t>
            </w:r>
            <w:r>
              <w:rPr>
                <w:sz w:val="18"/>
                <w:szCs w:val="18"/>
              </w:rPr>
              <w:t>880</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4.519</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2.276</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Kaynak Kul. Destekleme Fonundan  Alınan  </w:t>
            </w:r>
          </w:p>
          <w:p>
            <w:pPr>
              <w:ind w:firstLineChars="200" w:firstLine="360"/>
              <w:rPr>
                <w:sz w:val="18"/>
                <w:szCs w:val="18"/>
              </w:rPr>
            </w:pPr>
            <w:r>
              <w:rPr>
                <w:sz w:val="18"/>
                <w:szCs w:val="18"/>
              </w:rPr>
              <w:t>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bl>
    <w:p>
      <w:pPr>
        <w:jc w:val="both"/>
        <w:rPr>
          <w:i/>
          <w:iCs/>
          <w:sz w:val="18"/>
          <w:szCs w:val="18"/>
        </w:rPr>
      </w:pPr>
    </w:p>
    <w:p>
      <w:pPr>
        <w:tabs>
          <w:tab w:val="left" w:pos="993"/>
        </w:tabs>
        <w:ind w:left="709"/>
        <w:jc w:val="both"/>
        <w:rPr>
          <w:iCs/>
          <w:sz w:val="16"/>
          <w:szCs w:val="16"/>
        </w:rPr>
      </w:pPr>
      <w:r>
        <w:rPr>
          <w:iCs/>
          <w:sz w:val="16"/>
          <w:szCs w:val="16"/>
        </w:rPr>
        <w:t>(*)</w:t>
      </w:r>
      <w:r>
        <w:rPr>
          <w:iCs/>
          <w:sz w:val="16"/>
          <w:szCs w:val="16"/>
        </w:rPr>
        <w:tab/>
      </w:r>
      <w:r>
        <w:rPr>
          <w:iCs/>
          <w:sz w:val="16"/>
          <w:szCs w:val="16"/>
        </w:rPr>
        <w:t>Nakdi</w:t>
      </w:r>
      <w:r>
        <w:rPr>
          <w:iCs/>
          <w:sz w:val="16"/>
          <w:szCs w:val="16"/>
        </w:rPr>
        <w:t xml:space="preserve"> kredilere ilişkin ücret </w:t>
      </w:r>
      <w:r>
        <w:rPr>
          <w:iCs/>
          <w:sz w:val="16"/>
          <w:szCs w:val="16"/>
        </w:rPr>
        <w:t>gelirlerini de içermektedir.</w:t>
      </w:r>
    </w:p>
    <w:p>
      <w:pPr>
        <w:tabs>
          <w:tab w:val="left" w:pos="-1800"/>
          <w:tab w:val="left" w:pos="0"/>
        </w:tabs>
        <w:jc w:val="both"/>
      </w:pPr>
    </w:p>
    <w:p>
      <w:pPr>
        <w:pStyle w:val="BodyText"/>
        <w:tabs>
          <w:tab w:val="clear" w:pos="567"/>
          <w:tab w:val="clear" w:pos="720"/>
          <w:tab w:val="left" w:pos="-1800"/>
        </w:tabs>
        <w:rPr>
          <w:b/>
          <w:bCs/>
          <w:sz w:val="22"/>
          <w:szCs w:val="22"/>
        </w:rPr>
      </w:pPr>
      <w:r>
        <w:rPr>
          <w:b/>
          <w:bCs/>
          <w:sz w:val="22"/>
          <w:szCs w:val="22"/>
        </w:rPr>
        <w:t>1.b)</w:t>
      </w:r>
      <w:r>
        <w:rPr>
          <w:b/>
          <w:bCs/>
          <w:sz w:val="22"/>
          <w:szCs w:val="22"/>
        </w:rPr>
        <w:tab/>
      </w:r>
      <w:r>
        <w:rPr>
          <w:b/>
          <w:bCs/>
          <w:sz w:val="22"/>
          <w:szCs w:val="22"/>
        </w:rPr>
        <w:t>Bankalardan alınan faiz gelirlerine ilişkin bilgiler:</w:t>
      </w:r>
    </w:p>
    <w:p>
      <w:pPr>
        <w:pStyle w:val="BodyText"/>
        <w:tabs>
          <w:tab w:val="clear" w:pos="567"/>
          <w:tab w:val="clear" w:pos="720"/>
          <w:tab w:val="left" w:pos="-1800"/>
        </w:tabs>
        <w:rPr>
          <w:b/>
          <w:bCs/>
          <w:sz w:val="16"/>
          <w:szCs w:val="16"/>
        </w:rPr>
      </w:pPr>
    </w:p>
    <w:tbl>
      <w:tblPr>
        <w:tblW w:w="9127" w:type="dxa"/>
        <w:tblInd w:w="779" w:type="dxa"/>
        <w:tblLayout w:type="fixed"/>
        <w:tblCellMar>
          <w:left w:w="70" w:type="dxa"/>
          <w:right w:w="70" w:type="dxa"/>
        </w:tblCellMar>
        <w:tblLook w:val="00A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3.816</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3.816</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w:t>
            </w:r>
          </w:p>
        </w:tc>
      </w:tr>
    </w:tbl>
    <w:p>
      <w:pPr>
        <w:jc w:val="both"/>
        <w:rPr>
          <w:b/>
          <w:bCs/>
        </w:rPr>
      </w:pPr>
    </w:p>
    <w:p>
      <w:pPr>
        <w:jc w:val="both"/>
        <w:rPr>
          <w:b/>
          <w:bCs/>
        </w:rPr>
      </w:pPr>
      <w:r>
        <w:rPr>
          <w:b/>
          <w:bCs/>
          <w:sz w:val="22"/>
          <w:szCs w:val="22"/>
        </w:rPr>
        <w:t>1.</w:t>
      </w:r>
      <w:r>
        <w:rPr>
          <w:b/>
          <w:bCs/>
          <w:sz w:val="22"/>
          <w:szCs w:val="22"/>
        </w:rPr>
        <w:t>c)</w:t>
      </w:r>
      <w:r>
        <w:rPr>
          <w:b/>
          <w:bCs/>
          <w:sz w:val="22"/>
          <w:szCs w:val="22"/>
        </w:rPr>
        <w:tab/>
      </w:r>
      <w:r>
        <w:rPr>
          <w:b/>
          <w:bCs/>
          <w:sz w:val="22"/>
          <w:szCs w:val="22"/>
        </w:rPr>
        <w:t>Menkul değerlerden alınan faizlere ilişkin bilgiler:</w:t>
      </w:r>
    </w:p>
    <w:p>
      <w:pPr>
        <w:ind w:left="709"/>
        <w:jc w:val="both"/>
        <w:rPr>
          <w:iCs/>
          <w:sz w:val="22"/>
          <w:szCs w:val="22"/>
          <w:lang w:eastAsia="en-US"/>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jc w:val="both"/>
        <w:rPr>
          <w:b/>
          <w:bCs/>
        </w:rPr>
      </w:pPr>
    </w:p>
    <w:p>
      <w:pPr>
        <w:tabs>
          <w:tab w:val="left" w:pos="567"/>
        </w:tabs>
        <w:jc w:val="both"/>
        <w:rPr>
          <w:b/>
          <w:bCs/>
          <w:sz w:val="22"/>
          <w:szCs w:val="22"/>
        </w:rPr>
      </w:pPr>
      <w:r>
        <w:rPr>
          <w:b/>
          <w:bCs/>
          <w:sz w:val="22"/>
          <w:szCs w:val="22"/>
        </w:rPr>
        <w:t>1.ç)</w:t>
      </w:r>
      <w:r>
        <w:rPr>
          <w:b/>
          <w:bCs/>
          <w:sz w:val="22"/>
          <w:szCs w:val="22"/>
        </w:rPr>
        <w:tab/>
      </w:r>
      <w:r>
        <w:rPr>
          <w:b/>
          <w:bCs/>
          <w:sz w:val="22"/>
          <w:szCs w:val="22"/>
        </w:rPr>
        <w:t>İştirak ve bağlı ortaklıklardan alınan faiz</w:t>
      </w:r>
      <w:r>
        <w:rPr>
          <w:b/>
          <w:bCs/>
          <w:sz w:val="22"/>
          <w:szCs w:val="22"/>
        </w:rPr>
        <w:t xml:space="preserve"> gelirlerine ilişkin bilgiler:</w:t>
      </w:r>
    </w:p>
    <w:p>
      <w:pPr>
        <w:pStyle w:val="BodyText"/>
        <w:tabs>
          <w:tab w:val="clear" w:pos="0"/>
          <w:tab w:val="clear" w:pos="567"/>
          <w:tab w:val="clear" w:pos="720"/>
        </w:tabs>
        <w:rPr>
          <w:b/>
          <w:bCs/>
          <w:sz w:val="16"/>
          <w:szCs w:val="16"/>
        </w:rPr>
      </w:pPr>
      <w:bookmarkStart w:id="4" w:name="_Toc21420826"/>
      <w:r>
        <w:rPr>
          <w:b/>
          <w:bCs/>
          <w:sz w:val="16"/>
          <w:szCs w:val="16"/>
        </w:rPr>
        <w:tab/>
      </w:r>
    </w:p>
    <w:tbl>
      <w:tblPr>
        <w:tblW w:w="9127" w:type="dxa"/>
        <w:tblInd w:w="779" w:type="dxa"/>
        <w:tblCellMar>
          <w:left w:w="70" w:type="dxa"/>
          <w:right w:w="70" w:type="dxa"/>
        </w:tblCellMar>
        <w:tblLook w:val="0000"/>
      </w:tblPr>
      <w:tblGrid>
        <w:gridCol w:w="4139"/>
        <w:gridCol w:w="2494"/>
        <w:gridCol w:w="2494"/>
      </w:tblGrid>
      <w:tr>
        <w:trPr>
          <w:trHeight w:val="480"/>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center"/>
              <w:rPr>
                <w:sz w:val="16"/>
                <w:szCs w:val="16"/>
              </w:rPr>
            </w:pPr>
            <w:r>
              <w:rPr>
                <w:sz w:val="16"/>
                <w:szCs w:val="16"/>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İştirak ve Bağlı Ortaklıklardan Alınan Faizler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w:t>
            </w:r>
          </w:p>
        </w:tc>
      </w:tr>
    </w:tbl>
    <w:p>
      <w:pPr>
        <w:pStyle w:val="BodyText"/>
        <w:tabs>
          <w:tab w:val="clear" w:pos="0"/>
          <w:tab w:val="clear" w:pos="720"/>
        </w:tabs>
        <w:rPr>
          <w:b/>
          <w:bCs/>
          <w:sz w:val="12"/>
          <w:szCs w:val="12"/>
        </w:rPr>
      </w:pPr>
    </w:p>
    <w:p>
      <w:pPr>
        <w:pStyle w:val="BodyText"/>
        <w:tabs>
          <w:tab w:val="clear" w:pos="0"/>
          <w:tab w:val="clear" w:pos="567"/>
          <w:tab w:val="clear" w:pos="720"/>
          <w:tab w:val="left" w:pos="993"/>
        </w:tabs>
        <w:ind w:left="993" w:hanging="284"/>
        <w:rPr>
          <w:bCs/>
          <w:sz w:val="18"/>
          <w:szCs w:val="18"/>
        </w:rPr>
      </w:pPr>
    </w:p>
    <w:p>
      <w:pPr>
        <w:pStyle w:val="BodyText"/>
        <w:tabs>
          <w:tab w:val="clear" w:pos="0"/>
          <w:tab w:val="clear" w:pos="720"/>
        </w:tabs>
        <w:rPr>
          <w:b/>
          <w:bCs/>
          <w:sz w:val="22"/>
          <w:szCs w:val="22"/>
        </w:rPr>
      </w:pPr>
      <w:r>
        <w:rPr>
          <w:b/>
          <w:bCs/>
          <w:sz w:val="22"/>
          <w:szCs w:val="22"/>
        </w:rPr>
        <w:br w:type="page"/>
      </w:r>
    </w:p>
    <w:p>
      <w:pPr>
        <w:jc w:val="both"/>
        <w:rPr>
          <w:b/>
          <w:bCs/>
          <w:sz w:val="22"/>
          <w:szCs w:val="22"/>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t>Gelir tablosuna ilişkin açıklama ve dipnotlar (devam ediyor):</w:t>
      </w:r>
    </w:p>
    <w:p>
      <w:pPr>
        <w:pStyle w:val="BodyText"/>
        <w:tabs>
          <w:tab w:val="clear" w:pos="0"/>
          <w:tab w:val="clear" w:pos="720"/>
        </w:tabs>
        <w:rPr>
          <w:b/>
          <w:bCs/>
          <w:sz w:val="22"/>
          <w:szCs w:val="22"/>
        </w:rPr>
      </w:pPr>
    </w:p>
    <w:p>
      <w:pPr>
        <w:pStyle w:val="BodyText"/>
        <w:tabs>
          <w:tab w:val="clear" w:pos="0"/>
          <w:tab w:val="clear" w:pos="567"/>
          <w:tab w:val="clear" w:pos="720"/>
        </w:tabs>
        <w:rPr>
          <w:b/>
          <w:bCs/>
          <w:sz w:val="22"/>
          <w:szCs w:val="22"/>
        </w:rPr>
      </w:pPr>
      <w:r>
        <w:rPr>
          <w:b/>
          <w:bCs/>
          <w:sz w:val="22"/>
          <w:szCs w:val="22"/>
        </w:rPr>
        <w:t>2.a)</w:t>
      </w:r>
      <w:r>
        <w:rPr>
          <w:b/>
          <w:bCs/>
          <w:sz w:val="22"/>
          <w:szCs w:val="22"/>
        </w:rPr>
        <w:tab/>
      </w:r>
      <w:r>
        <w:rPr>
          <w:b/>
          <w:bCs/>
          <w:sz w:val="22"/>
          <w:szCs w:val="22"/>
        </w:rPr>
        <w:t>Kullanılan kredilere ver</w:t>
      </w:r>
      <w:r>
        <w:rPr>
          <w:b/>
          <w:bCs/>
          <w:sz w:val="22"/>
          <w:szCs w:val="22"/>
        </w:rPr>
        <w:t>ilen faizlere ilişkin bilgiler:</w:t>
      </w:r>
    </w:p>
    <w:p>
      <w:pPr>
        <w:pStyle w:val="BodyText"/>
        <w:tabs>
          <w:tab w:val="clear" w:pos="0"/>
          <w:tab w:val="clear" w:pos="567"/>
          <w:tab w:val="clear" w:pos="720"/>
        </w:tabs>
        <w:rPr>
          <w:b/>
          <w:bCs/>
          <w:sz w:val="22"/>
          <w:szCs w:val="22"/>
        </w:rPr>
      </w:pPr>
    </w:p>
    <w:tbl>
      <w:tblPr>
        <w:tblW w:w="9127" w:type="dxa"/>
        <w:tblInd w:w="779" w:type="dxa"/>
        <w:tblLayout w:type="fixed"/>
        <w:tblCellMar>
          <w:left w:w="70" w:type="dxa"/>
          <w:right w:w="70" w:type="dxa"/>
        </w:tblCellMar>
        <w:tblLook w:val="00A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Bankalara Verilen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459</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91</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163</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408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161</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Şubelere</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Kuruluşlara Verilen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245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7.814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259</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4.481</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245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8.273</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350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4.644</w:t>
            </w:r>
          </w:p>
        </w:tc>
      </w:tr>
    </w:tbl>
    <w:p>
      <w:pPr>
        <w:tabs>
          <w:tab w:val="left" w:pos="540"/>
        </w:tabs>
        <w:jc w:val="both"/>
        <w:rPr>
          <w:b/>
          <w:bCs/>
          <w:sz w:val="22"/>
          <w:szCs w:val="22"/>
        </w:rPr>
      </w:pPr>
    </w:p>
    <w:p>
      <w:pPr>
        <w:tabs>
          <w:tab w:val="left" w:pos="993"/>
        </w:tabs>
        <w:ind w:left="709"/>
        <w:jc w:val="both"/>
        <w:rPr>
          <w:iCs/>
          <w:sz w:val="16"/>
          <w:szCs w:val="16"/>
        </w:rPr>
      </w:pPr>
      <w:r>
        <w:rPr>
          <w:iCs/>
          <w:sz w:val="16"/>
          <w:szCs w:val="16"/>
        </w:rPr>
        <w:t>(*)</w:t>
      </w:r>
      <w:r>
        <w:rPr>
          <w:iCs/>
          <w:sz w:val="16"/>
          <w:szCs w:val="16"/>
        </w:rPr>
        <w:tab/>
        <w:t>Nakdi kredilere ilişkin ücret gelirlerini de içermektedir.</w:t>
      </w:r>
    </w:p>
    <w:p>
      <w:pPr>
        <w:tabs>
          <w:tab w:val="left" w:pos="540"/>
        </w:tabs>
        <w:jc w:val="both"/>
        <w:rPr>
          <w:b/>
          <w:bCs/>
          <w:sz w:val="22"/>
          <w:szCs w:val="22"/>
        </w:rPr>
      </w:pPr>
    </w:p>
    <w:p>
      <w:pPr>
        <w:jc w:val="both"/>
        <w:rPr>
          <w:b/>
          <w:bCs/>
          <w:sz w:val="22"/>
          <w:szCs w:val="22"/>
        </w:rPr>
      </w:pPr>
      <w:r>
        <w:rPr>
          <w:b/>
          <w:bCs/>
          <w:sz w:val="22"/>
          <w:szCs w:val="22"/>
        </w:rPr>
        <w:t>2.b)</w:t>
      </w:r>
      <w:r>
        <w:rPr>
          <w:b/>
          <w:bCs/>
          <w:sz w:val="22"/>
          <w:szCs w:val="22"/>
        </w:rPr>
        <w:tab/>
      </w:r>
      <w:r>
        <w:rPr>
          <w:b/>
          <w:bCs/>
          <w:sz w:val="22"/>
          <w:szCs w:val="22"/>
        </w:rPr>
        <w:t xml:space="preserve">İştirakler ve bağlı ortaklıklara verilen faiz giderlerine ilişkin bilgiler :  </w:t>
      </w:r>
    </w:p>
    <w:p>
      <w:pPr>
        <w:jc w:val="both"/>
        <w:rPr>
          <w:b/>
          <w:bCs/>
          <w:sz w:val="22"/>
          <w:szCs w:val="22"/>
        </w:rPr>
      </w:pPr>
    </w:p>
    <w:p>
      <w:pPr>
        <w:ind w:left="709"/>
        <w:jc w:val="both"/>
        <w:rPr>
          <w:b/>
          <w:bCs/>
          <w:sz w:val="22"/>
          <w:szCs w:val="22"/>
        </w:rPr>
      </w:pPr>
      <w:r>
        <w:rPr>
          <w:sz w:val="22"/>
          <w:szCs w:val="22"/>
        </w:rPr>
        <w:t>Bulunmamaktadır</w:t>
      </w:r>
      <w:r>
        <w:rPr>
          <w:b/>
          <w:bCs/>
          <w:sz w:val="22"/>
          <w:szCs w:val="22"/>
        </w:rPr>
        <w:t xml:space="preserve">.  </w:t>
      </w:r>
    </w:p>
    <w:p>
      <w:pPr>
        <w:tabs>
          <w:tab w:val="left" w:pos="180"/>
          <w:tab w:val="left" w:pos="450"/>
          <w:tab w:val="left" w:pos="709"/>
        </w:tabs>
        <w:jc w:val="both"/>
        <w:rPr>
          <w:rFonts w:eastAsia="Arial Unicode MS"/>
          <w:b/>
          <w:bCs/>
          <w:sz w:val="22"/>
          <w:szCs w:val="22"/>
        </w:rPr>
      </w:pPr>
    </w:p>
    <w:p>
      <w:pPr>
        <w:jc w:val="both"/>
        <w:rPr>
          <w:rFonts w:eastAsia="Arial Unicode MS"/>
          <w:b/>
          <w:bCs/>
          <w:sz w:val="22"/>
          <w:szCs w:val="22"/>
        </w:rPr>
      </w:pPr>
      <w:r>
        <w:rPr>
          <w:rFonts w:eastAsia="Arial Unicode MS"/>
          <w:b/>
          <w:bCs/>
          <w:sz w:val="22"/>
          <w:szCs w:val="22"/>
        </w:rPr>
        <w:t>2.c)</w:t>
      </w:r>
      <w:r>
        <w:rPr>
          <w:rFonts w:eastAsia="Arial Unicode MS"/>
          <w:b/>
          <w:bCs/>
          <w:sz w:val="22"/>
          <w:szCs w:val="22"/>
        </w:rPr>
        <w:tab/>
      </w:r>
      <w:r>
        <w:rPr>
          <w:rFonts w:eastAsia="Arial Unicode MS"/>
          <w:b/>
          <w:bCs/>
          <w:sz w:val="22"/>
          <w:szCs w:val="22"/>
        </w:rPr>
        <w:t>İhraç edilen menkul kıymetlere verilen faizlere ilişkin bilgiler:</w:t>
      </w:r>
    </w:p>
    <w:p>
      <w:pPr>
        <w:jc w:val="both"/>
        <w:rPr>
          <w:bCs/>
          <w:iCs/>
          <w:sz w:val="22"/>
          <w:szCs w:val="22"/>
        </w:rPr>
      </w:pPr>
    </w:p>
    <w:p>
      <w:pPr>
        <w:ind w:left="709"/>
        <w:jc w:val="both"/>
        <w:rPr>
          <w:rFonts w:eastAsia="Arial Unicode MS"/>
          <w:bCs/>
          <w:sz w:val="22"/>
          <w:szCs w:val="22"/>
        </w:rPr>
      </w:pPr>
      <w:r>
        <w:rPr>
          <w:rFonts w:eastAsia="Arial Unicode MS"/>
          <w:bCs/>
          <w:sz w:val="22"/>
          <w:szCs w:val="22"/>
        </w:rPr>
        <w:t>Banka’nın ihraç ettiği menkul kıymet bulunmamaktadır.</w:t>
      </w:r>
    </w:p>
    <w:p>
      <w:pPr>
        <w:jc w:val="both"/>
        <w:rPr>
          <w:b/>
          <w:bCs/>
          <w:sz w:val="22"/>
          <w:szCs w:val="22"/>
        </w:rPr>
      </w:pPr>
    </w:p>
    <w:p>
      <w:pPr>
        <w:pStyle w:val="BodyText"/>
        <w:tabs>
          <w:tab w:val="clear" w:pos="0"/>
          <w:tab w:val="clear" w:pos="567"/>
          <w:tab w:val="clear" w:pos="720"/>
        </w:tabs>
        <w:rPr>
          <w:i/>
          <w:iCs/>
        </w:rPr>
      </w:pPr>
      <w:r>
        <w:rPr>
          <w:b/>
          <w:bCs/>
          <w:sz w:val="22"/>
          <w:szCs w:val="22"/>
        </w:rPr>
        <w:t>3.</w:t>
      </w:r>
      <w:r>
        <w:rPr>
          <w:b/>
          <w:bCs/>
          <w:sz w:val="22"/>
          <w:szCs w:val="22"/>
        </w:rPr>
        <w:tab/>
      </w:r>
      <w:r>
        <w:rPr>
          <w:b/>
          <w:bCs/>
          <w:sz w:val="22"/>
          <w:szCs w:val="22"/>
        </w:rPr>
        <w:t>Temettü Gelirlerine İlişkin Açıklamalar:</w:t>
      </w:r>
    </w:p>
    <w:p>
      <w:pPr>
        <w:jc w:val="both"/>
        <w:rPr>
          <w:bCs/>
          <w:sz w:val="22"/>
          <w:szCs w:val="22"/>
        </w:rPr>
      </w:pPr>
    </w:p>
    <w:p>
      <w:pPr>
        <w:ind w:left="709"/>
        <w:jc w:val="both"/>
        <w:rPr>
          <w:b/>
          <w:bCs/>
          <w:sz w:val="22"/>
          <w:szCs w:val="22"/>
        </w:rPr>
      </w:pPr>
      <w:r>
        <w:rPr>
          <w:bCs/>
          <w:sz w:val="22"/>
          <w:szCs w:val="22"/>
        </w:rPr>
        <w:tab/>
      </w:r>
      <w:r>
        <w:rPr>
          <w:bCs/>
          <w:sz w:val="22"/>
          <w:szCs w:val="22"/>
        </w:rPr>
        <w:t xml:space="preserve">89 Bin TL </w:t>
      </w:r>
      <w:r>
        <w:rPr>
          <w:bCs/>
          <w:sz w:val="22"/>
          <w:szCs w:val="22"/>
        </w:rPr>
        <w:t xml:space="preserve">(30 Haziran 2010: 31 Bin TL) </w:t>
      </w:r>
      <w:r>
        <w:rPr>
          <w:bCs/>
          <w:sz w:val="22"/>
          <w:szCs w:val="22"/>
        </w:rPr>
        <w:t>s</w:t>
      </w:r>
      <w:r>
        <w:rPr>
          <w:bCs/>
          <w:sz w:val="22"/>
          <w:szCs w:val="22"/>
        </w:rPr>
        <w:t>atılmay</w:t>
      </w:r>
      <w:r>
        <w:rPr>
          <w:bCs/>
          <w:sz w:val="22"/>
          <w:szCs w:val="22"/>
        </w:rPr>
        <w:t xml:space="preserve">a hazır finansal varlıklardan, 83 </w:t>
      </w:r>
      <w:r>
        <w:rPr>
          <w:bCs/>
          <w:sz w:val="22"/>
          <w:szCs w:val="22"/>
        </w:rPr>
        <w:t>B</w:t>
      </w:r>
      <w:r>
        <w:rPr>
          <w:bCs/>
          <w:sz w:val="22"/>
          <w:szCs w:val="22"/>
        </w:rPr>
        <w:t xml:space="preserve">in TL (30 Haziran 2010: 3.185 Bin TL) </w:t>
      </w:r>
      <w:r>
        <w:rPr>
          <w:bCs/>
          <w:sz w:val="22"/>
          <w:szCs w:val="22"/>
        </w:rPr>
        <w:t>i</w:t>
      </w:r>
      <w:r>
        <w:rPr>
          <w:bCs/>
          <w:sz w:val="22"/>
          <w:szCs w:val="22"/>
        </w:rPr>
        <w:t xml:space="preserve">ştiraklerden olmak üzere </w:t>
      </w:r>
      <w:r>
        <w:rPr>
          <w:bCs/>
          <w:sz w:val="22"/>
          <w:szCs w:val="22"/>
        </w:rPr>
        <w:t xml:space="preserve">toplam </w:t>
      </w:r>
      <w:r>
        <w:rPr>
          <w:bCs/>
          <w:sz w:val="22"/>
          <w:szCs w:val="22"/>
        </w:rPr>
        <w:t xml:space="preserve">172 Bin TL </w:t>
      </w:r>
      <w:r>
        <w:rPr>
          <w:bCs/>
          <w:sz w:val="22"/>
          <w:szCs w:val="22"/>
        </w:rPr>
        <w:t xml:space="preserve">(30 Haziran 2010: 3.220 Bin TL) </w:t>
      </w:r>
      <w:r>
        <w:rPr>
          <w:bCs/>
          <w:sz w:val="22"/>
          <w:szCs w:val="22"/>
        </w:rPr>
        <w:t>temettü geliri b</w:t>
      </w:r>
      <w:r>
        <w:rPr>
          <w:bCs/>
          <w:sz w:val="22"/>
          <w:szCs w:val="22"/>
        </w:rPr>
        <w:t>ulunmaktadır.</w:t>
      </w:r>
      <w:r>
        <w:rPr>
          <w:b/>
          <w:bCs/>
          <w:sz w:val="22"/>
          <w:szCs w:val="22"/>
        </w:rPr>
        <w:t xml:space="preserve">  </w:t>
      </w:r>
    </w:p>
    <w:p>
      <w:pPr>
        <w:jc w:val="both"/>
        <w:rPr>
          <w:bCs/>
          <w:sz w:val="22"/>
          <w:szCs w:val="22"/>
        </w:rPr>
      </w:pPr>
    </w:p>
    <w:bookmarkEnd w:id="4"/>
    <w:p>
      <w:pPr>
        <w:jc w:val="both"/>
        <w:rPr>
          <w:b/>
          <w:bCs/>
          <w:sz w:val="22"/>
          <w:szCs w:val="22"/>
        </w:rPr>
      </w:pPr>
      <w:r>
        <w:rPr>
          <w:b/>
          <w:bCs/>
          <w:sz w:val="22"/>
          <w:szCs w:val="22"/>
        </w:rPr>
        <w:t>4.</w:t>
      </w:r>
      <w:r>
        <w:rPr>
          <w:b/>
          <w:bCs/>
          <w:sz w:val="22"/>
          <w:szCs w:val="22"/>
        </w:rPr>
        <w:tab/>
      </w:r>
      <w:r>
        <w:rPr>
          <w:b/>
          <w:bCs/>
          <w:sz w:val="22"/>
          <w:szCs w:val="22"/>
        </w:rPr>
        <w:t>Ticari k</w:t>
      </w:r>
      <w:r>
        <w:rPr>
          <w:b/>
          <w:bCs/>
          <w:sz w:val="22"/>
          <w:szCs w:val="22"/>
        </w:rPr>
        <w:t>a</w:t>
      </w:r>
      <w:r>
        <w:rPr>
          <w:b/>
          <w:bCs/>
          <w:sz w:val="22"/>
          <w:szCs w:val="22"/>
        </w:rPr>
        <w:t>r/</w:t>
      </w:r>
      <w:r>
        <w:rPr>
          <w:b/>
          <w:bCs/>
          <w:sz w:val="22"/>
          <w:szCs w:val="22"/>
        </w:rPr>
        <w:t>zarara ilişkin açıklamalar:</w:t>
      </w:r>
    </w:p>
    <w:p>
      <w:pPr>
        <w:jc w:val="both"/>
        <w:rPr>
          <w:b/>
          <w:bCs/>
          <w:sz w:val="22"/>
          <w:szCs w:val="22"/>
        </w:rPr>
      </w:pPr>
    </w:p>
    <w:tbl>
      <w:tblPr>
        <w:tblW w:w="9127" w:type="dxa"/>
        <w:tblInd w:w="779" w:type="dxa"/>
        <w:tblCellMar>
          <w:left w:w="70" w:type="dxa"/>
          <w:right w:w="70" w:type="dxa"/>
        </w:tblCellMar>
        <w:tblLook w:val="0000"/>
      </w:tblPr>
      <w:tblGrid>
        <w:gridCol w:w="4139"/>
        <w:gridCol w:w="2494"/>
        <w:gridCol w:w="2494"/>
      </w:tblGrid>
      <w:tr>
        <w:trPr>
          <w:trHeight w:val="315"/>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b/>
                <w:bCs/>
                <w:sz w:val="18"/>
                <w:szCs w:val="18"/>
              </w:rPr>
            </w:pPr>
            <w:r>
              <w:rPr>
                <w:b/>
                <w:bCs/>
                <w:sz w:val="18"/>
                <w:szCs w:val="18"/>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Kar</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1.791</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2.096</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89</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155</w:t>
            </w:r>
          </w:p>
        </w:tc>
      </w:tr>
      <w:tr>
        <w:trPr>
          <w:trHeight w:val="31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391</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1.311</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1.927</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1.262</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463</w:t>
            </w:r>
            <w:r>
              <w:rPr>
                <w:sz w:val="18"/>
                <w:szCs w:val="18"/>
              </w:rPr>
              <w:t>)</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8</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644</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6"/>
                <w:szCs w:val="16"/>
              </w:rPr>
            </w:pPr>
            <w:r>
              <w:rPr>
                <w:sz w:val="16"/>
                <w:szCs w:val="16"/>
              </w:rPr>
              <w:t>- </w:t>
            </w:r>
          </w:p>
        </w:tc>
      </w:tr>
      <w:tr>
        <w:trPr>
          <w:trHeight w:val="255"/>
        </w:trPr>
        <w:tc>
          <w:tcPr>
            <w:tcW w:w="4139" w:type="dxa"/>
            <w:tcBorders>
              <w:top w:val="nil"/>
              <w:left w:val="single" w:sz="4" w:space="0" w:color="auto"/>
              <w:bottom w:val="single" w:sz="4" w:space="0" w:color="auto"/>
              <w:right w:val="nil"/>
            </w:tcBorders>
            <w:shd w:val="clear" w:color="auto" w:fill="FFFFFF"/>
            <w:noWrap/>
            <w:vAlign w:val="bottom"/>
          </w:tcPr>
          <w:p>
            <w:pPr>
              <w:rPr>
                <w:sz w:val="18"/>
                <w:szCs w:val="18"/>
              </w:rPr>
            </w:pPr>
            <w:r>
              <w:rPr>
                <w:sz w:val="18"/>
                <w:szCs w:val="18"/>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right"/>
              <w:rPr>
                <w:sz w:val="18"/>
                <w:szCs w:val="18"/>
              </w:rPr>
            </w:pPr>
            <w:r>
              <w:rPr>
                <w:sz w:val="18"/>
                <w:szCs w:val="18"/>
              </w:rPr>
              <w:t>610</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463</w:t>
            </w:r>
            <w:r>
              <w:rPr>
                <w:sz w:val="18"/>
                <w:szCs w:val="18"/>
              </w:rPr>
              <w:t>)</w:t>
            </w:r>
          </w:p>
        </w:tc>
      </w:tr>
    </w:tbl>
    <w:p>
      <w:pPr>
        <w:tabs>
          <w:tab w:val="left" w:pos="540"/>
        </w:tabs>
        <w:jc w:val="both"/>
        <w:rPr>
          <w:b/>
          <w:bCs/>
          <w:sz w:val="22"/>
          <w:szCs w:val="22"/>
        </w:rPr>
      </w:pPr>
      <w:bookmarkStart w:id="5" w:name="OLE_LINK1"/>
    </w:p>
    <w:p>
      <w:pPr>
        <w:jc w:val="both"/>
        <w:rPr>
          <w:b/>
          <w:bCs/>
          <w:sz w:val="22"/>
          <w:szCs w:val="22"/>
          <w:lang w:eastAsia="en-US"/>
        </w:rPr>
      </w:pPr>
      <w:r>
        <w:rPr>
          <w:b/>
          <w:bCs/>
          <w:sz w:val="22"/>
          <w:szCs w:val="22"/>
        </w:rPr>
        <w:t>5.</w:t>
      </w:r>
      <w:r>
        <w:rPr>
          <w:b/>
          <w:bCs/>
          <w:sz w:val="22"/>
          <w:szCs w:val="22"/>
        </w:rPr>
        <w:tab/>
        <w:t>Diğer faaliyet gelirlerine ilişkin bilgiler:</w:t>
      </w:r>
      <w:r>
        <w:rPr>
          <w:b/>
          <w:bCs/>
          <w:sz w:val="22"/>
          <w:szCs w:val="22"/>
          <w:lang w:eastAsia="en-US"/>
        </w:rPr>
        <w:t xml:space="preserve"> </w:t>
      </w:r>
    </w:p>
    <w:p>
      <w:pPr>
        <w:tabs>
          <w:tab w:val="left" w:pos="540"/>
        </w:tabs>
        <w:jc w:val="both"/>
        <w:rPr>
          <w:b/>
          <w:bCs/>
          <w:sz w:val="8"/>
          <w:szCs w:val="8"/>
          <w:lang w:eastAsia="en-US"/>
        </w:rPr>
      </w:pPr>
    </w:p>
    <w:tbl>
      <w:tblPr>
        <w:tblW w:w="91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11"/>
        <w:gridCol w:w="2551"/>
        <w:gridCol w:w="2466"/>
      </w:tblGrid>
      <w:tr>
        <w:trPr>
          <w:trHeight w:val="284"/>
        </w:trPr>
        <w:tc>
          <w:tcPr>
            <w:tcW w:w="4111" w:type="dxa"/>
            <w:vAlign w:val="center"/>
          </w:tcPr>
          <w:p>
            <w:pPr>
              <w:pStyle w:val="EndnoteText"/>
              <w:keepNext/>
              <w:keepLines/>
              <w:rPr>
                <w:sz w:val="18"/>
                <w:szCs w:val="18"/>
                <w:lang w:eastAsia="en-US"/>
              </w:rPr>
            </w:pPr>
            <w:bookmarkStart w:id="6" w:name="OLE_LINK3"/>
          </w:p>
        </w:tc>
        <w:tc>
          <w:tcPr>
            <w:tcW w:w="2551" w:type="dxa"/>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2466" w:type="dxa"/>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trHeight w:val="255"/>
        </w:trPr>
        <w:tc>
          <w:tcPr>
            <w:tcW w:w="4111" w:type="dxa"/>
            <w:vAlign w:val="bottom"/>
          </w:tcPr>
          <w:p>
            <w:pPr>
              <w:pStyle w:val="FootnoteText"/>
              <w:keepNext/>
              <w:keepLines/>
              <w:ind w:firstLine="375"/>
              <w:rPr>
                <w:sz w:val="18"/>
                <w:szCs w:val="18"/>
              </w:rPr>
            </w:pPr>
            <w:r>
              <w:rPr>
                <w:sz w:val="18"/>
                <w:szCs w:val="18"/>
              </w:rPr>
              <w:t xml:space="preserve">Aktif Satışlarından Elde Edilen Gelirler  </w:t>
            </w:r>
          </w:p>
        </w:tc>
        <w:tc>
          <w:tcPr>
            <w:tcW w:w="2551" w:type="dxa"/>
            <w:shd w:val="clear" w:color="auto" w:fill="FFFFFF"/>
            <w:vAlign w:val="bottom"/>
          </w:tcPr>
          <w:p>
            <w:pPr>
              <w:ind w:right="28"/>
              <w:jc w:val="right"/>
              <w:rPr>
                <w:sz w:val="18"/>
                <w:szCs w:val="18"/>
              </w:rPr>
            </w:pPr>
            <w:r>
              <w:rPr>
                <w:sz w:val="18"/>
                <w:szCs w:val="18"/>
              </w:rPr>
              <w:t>1.161</w:t>
            </w:r>
          </w:p>
        </w:tc>
        <w:tc>
          <w:tcPr>
            <w:tcW w:w="2466" w:type="dxa"/>
            <w:shd w:val="clear" w:color="auto" w:fill="FFFFFF"/>
            <w:vAlign w:val="bottom"/>
          </w:tcPr>
          <w:p>
            <w:pPr>
              <w:ind w:right="28"/>
              <w:jc w:val="right"/>
              <w:rPr>
                <w:sz w:val="18"/>
                <w:szCs w:val="18"/>
              </w:rPr>
            </w:pPr>
            <w:r>
              <w:rPr>
                <w:sz w:val="18"/>
                <w:szCs w:val="18"/>
              </w:rPr>
              <w:t>82</w:t>
            </w:r>
          </w:p>
        </w:tc>
      </w:tr>
      <w:tr>
        <w:trPr>
          <w:trHeight w:val="255"/>
        </w:trPr>
        <w:tc>
          <w:tcPr>
            <w:tcW w:w="4111" w:type="dxa"/>
            <w:vAlign w:val="bottom"/>
          </w:tcPr>
          <w:p>
            <w:pPr>
              <w:pStyle w:val="FootnoteText"/>
              <w:keepNext/>
              <w:keepLines/>
              <w:ind w:firstLine="375"/>
              <w:rPr>
                <w:sz w:val="18"/>
                <w:szCs w:val="18"/>
              </w:rPr>
            </w:pPr>
            <w:r>
              <w:rPr>
                <w:sz w:val="18"/>
                <w:szCs w:val="18"/>
              </w:rPr>
              <w:t>Geçmiş Yıllarda Ayrılan Karşılıklardan İptaller</w:t>
            </w:r>
          </w:p>
        </w:tc>
        <w:tc>
          <w:tcPr>
            <w:tcW w:w="2551" w:type="dxa"/>
            <w:shd w:val="clear" w:color="auto" w:fill="FFFFFF"/>
            <w:vAlign w:val="bottom"/>
          </w:tcPr>
          <w:p>
            <w:pPr>
              <w:ind w:right="28"/>
              <w:jc w:val="right"/>
              <w:rPr>
                <w:sz w:val="18"/>
                <w:szCs w:val="18"/>
              </w:rPr>
            </w:pPr>
            <w:r>
              <w:rPr>
                <w:sz w:val="18"/>
                <w:szCs w:val="18"/>
              </w:rPr>
              <w:t>6</w:t>
            </w:r>
            <w:r>
              <w:rPr>
                <w:sz w:val="18"/>
                <w:szCs w:val="18"/>
              </w:rPr>
              <w:t>.044</w:t>
            </w:r>
          </w:p>
        </w:tc>
        <w:tc>
          <w:tcPr>
            <w:tcW w:w="2466" w:type="dxa"/>
            <w:shd w:val="clear" w:color="auto" w:fill="FFFFFF"/>
            <w:vAlign w:val="bottom"/>
          </w:tcPr>
          <w:p>
            <w:pPr>
              <w:ind w:right="28"/>
              <w:jc w:val="right"/>
              <w:rPr>
                <w:sz w:val="18"/>
                <w:szCs w:val="18"/>
              </w:rPr>
            </w:pPr>
            <w:r>
              <w:rPr>
                <w:sz w:val="18"/>
                <w:szCs w:val="18"/>
              </w:rPr>
              <w:t>10.234</w:t>
            </w:r>
          </w:p>
        </w:tc>
      </w:tr>
      <w:tr>
        <w:trPr>
          <w:trHeight w:val="258"/>
        </w:trPr>
        <w:tc>
          <w:tcPr>
            <w:tcW w:w="4111" w:type="dxa"/>
            <w:vAlign w:val="bottom"/>
          </w:tcPr>
          <w:p>
            <w:pPr>
              <w:pStyle w:val="FootnoteText"/>
              <w:keepNext/>
              <w:keepLines/>
              <w:ind w:firstLine="375"/>
              <w:rPr>
                <w:sz w:val="18"/>
                <w:szCs w:val="18"/>
              </w:rPr>
            </w:pPr>
            <w:r>
              <w:rPr>
                <w:sz w:val="18"/>
                <w:szCs w:val="18"/>
              </w:rPr>
              <w:t>Diğer</w:t>
            </w:r>
          </w:p>
        </w:tc>
        <w:tc>
          <w:tcPr>
            <w:tcW w:w="2551" w:type="dxa"/>
            <w:shd w:val="clear" w:color="auto" w:fill="FFFFFF"/>
            <w:vAlign w:val="bottom"/>
          </w:tcPr>
          <w:p>
            <w:pPr>
              <w:ind w:right="28"/>
              <w:jc w:val="right"/>
              <w:rPr>
                <w:sz w:val="18"/>
                <w:szCs w:val="18"/>
              </w:rPr>
            </w:pPr>
            <w:r>
              <w:rPr>
                <w:sz w:val="18"/>
                <w:szCs w:val="18"/>
              </w:rPr>
              <w:t>843</w:t>
            </w:r>
          </w:p>
        </w:tc>
        <w:tc>
          <w:tcPr>
            <w:tcW w:w="2466" w:type="dxa"/>
            <w:shd w:val="clear" w:color="auto" w:fill="FFFFFF"/>
            <w:vAlign w:val="bottom"/>
          </w:tcPr>
          <w:p>
            <w:pPr>
              <w:ind w:right="28"/>
              <w:jc w:val="right"/>
              <w:rPr>
                <w:sz w:val="18"/>
                <w:szCs w:val="18"/>
              </w:rPr>
            </w:pPr>
            <w:r>
              <w:rPr>
                <w:sz w:val="18"/>
                <w:szCs w:val="18"/>
              </w:rPr>
              <w:t>917</w:t>
            </w:r>
          </w:p>
        </w:tc>
      </w:tr>
      <w:tr>
        <w:trPr>
          <w:trHeight w:val="250"/>
        </w:trPr>
        <w:tc>
          <w:tcPr>
            <w:tcW w:w="4111" w:type="dxa"/>
            <w:vAlign w:val="bottom"/>
          </w:tcPr>
          <w:p>
            <w:pPr>
              <w:pStyle w:val="FootnoteText"/>
              <w:keepNext/>
              <w:keepLines/>
              <w:ind w:firstLine="15"/>
              <w:rPr>
                <w:sz w:val="18"/>
                <w:szCs w:val="18"/>
              </w:rPr>
            </w:pPr>
            <w:r>
              <w:rPr>
                <w:sz w:val="18"/>
                <w:szCs w:val="18"/>
              </w:rPr>
              <w:t>Toplam</w:t>
            </w:r>
          </w:p>
        </w:tc>
        <w:tc>
          <w:tcPr>
            <w:tcW w:w="2551" w:type="dxa"/>
            <w:vAlign w:val="bottom"/>
          </w:tcPr>
          <w:p>
            <w:pPr>
              <w:ind w:right="28"/>
              <w:jc w:val="right"/>
              <w:rPr>
                <w:sz w:val="18"/>
                <w:szCs w:val="18"/>
              </w:rPr>
            </w:pPr>
            <w:r>
              <w:rPr>
                <w:sz w:val="18"/>
                <w:szCs w:val="18"/>
              </w:rPr>
              <w:t>8.048</w:t>
            </w:r>
          </w:p>
        </w:tc>
        <w:tc>
          <w:tcPr>
            <w:tcW w:w="2466" w:type="dxa"/>
            <w:vAlign w:val="bottom"/>
          </w:tcPr>
          <w:p>
            <w:pPr>
              <w:ind w:right="28"/>
              <w:jc w:val="right"/>
              <w:rPr>
                <w:sz w:val="18"/>
                <w:szCs w:val="18"/>
              </w:rPr>
            </w:pPr>
            <w:r>
              <w:rPr>
                <w:sz w:val="18"/>
                <w:szCs w:val="18"/>
              </w:rPr>
              <w:t>11.233</w:t>
            </w:r>
          </w:p>
        </w:tc>
      </w:tr>
      <w:bookmarkEnd w:id="5"/>
      <w:bookmarkEnd w:id="6"/>
    </w:tbl>
    <w:p>
      <w:pPr>
        <w:jc w:val="both"/>
        <w:rPr>
          <w:b/>
          <w:bCs/>
          <w:sz w:val="18"/>
          <w:szCs w:val="18"/>
        </w:rPr>
      </w:pPr>
    </w:p>
    <w:p>
      <w:pPr>
        <w:tabs>
          <w:tab w:val="left" w:pos="567"/>
        </w:tabs>
        <w:jc w:val="both"/>
        <w:rPr>
          <w:b/>
          <w:bCs/>
          <w:sz w:val="18"/>
          <w:szCs w:val="18"/>
        </w:rPr>
      </w:pPr>
      <w:r>
        <w:rPr>
          <w:b/>
          <w:bCs/>
          <w:sz w:val="18"/>
          <w:szCs w:val="18"/>
        </w:rPr>
        <w:br w:type="page"/>
      </w:r>
    </w:p>
    <w:p>
      <w:pPr>
        <w:tabs>
          <w:tab w:val="left" w:pos="567"/>
        </w:tabs>
        <w:jc w:val="both"/>
        <w:rPr>
          <w:b/>
          <w:bCs/>
          <w:sz w:val="22"/>
          <w:szCs w:val="22"/>
        </w:rPr>
      </w:pP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jc w:val="both"/>
        <w:rPr>
          <w:b/>
          <w:bCs/>
          <w:sz w:val="18"/>
          <w:szCs w:val="18"/>
        </w:rPr>
      </w:pPr>
    </w:p>
    <w:p>
      <w:pPr>
        <w:tabs>
          <w:tab w:val="left" w:pos="567"/>
        </w:tabs>
        <w:jc w:val="both"/>
        <w:rPr>
          <w:b/>
          <w:bCs/>
          <w:sz w:val="22"/>
          <w:szCs w:val="22"/>
        </w:rPr>
      </w:pPr>
      <w:r>
        <w:rPr>
          <w:b/>
          <w:bCs/>
          <w:sz w:val="22"/>
          <w:szCs w:val="22"/>
        </w:rPr>
        <w:t>6.</w:t>
      </w:r>
      <w:r>
        <w:rPr>
          <w:b/>
          <w:bCs/>
          <w:sz w:val="22"/>
          <w:szCs w:val="22"/>
        </w:rPr>
        <w:tab/>
      </w:r>
      <w:r>
        <w:rPr>
          <w:b/>
          <w:bCs/>
          <w:sz w:val="22"/>
          <w:szCs w:val="22"/>
        </w:rPr>
        <w:t>Bankaların kredi ve diğer alacaklarına ili</w:t>
      </w:r>
      <w:r>
        <w:rPr>
          <w:b/>
          <w:bCs/>
          <w:sz w:val="22"/>
          <w:szCs w:val="22"/>
        </w:rPr>
        <w:t>şkin değer düşüş karşılıkları:</w:t>
      </w:r>
    </w:p>
    <w:p>
      <w:pPr>
        <w:ind w:left="567"/>
        <w:jc w:val="both"/>
        <w:rPr>
          <w:b/>
          <w:bCs/>
          <w:sz w:val="12"/>
          <w:szCs w:val="12"/>
        </w:rPr>
      </w:pPr>
    </w:p>
    <w:tbl>
      <w:tblPr>
        <w:tblW w:w="9128" w:type="dxa"/>
        <w:tblInd w:w="637" w:type="dxa"/>
        <w:tblLayout w:type="fixed"/>
        <w:tblCellMar>
          <w:left w:w="70" w:type="dxa"/>
          <w:right w:w="70" w:type="dxa"/>
        </w:tblCellMar>
        <w:tblLook w:val="00A0"/>
      </w:tblPr>
      <w:tblGrid>
        <w:gridCol w:w="5386"/>
        <w:gridCol w:w="1871"/>
        <w:gridCol w:w="1871"/>
      </w:tblGrid>
      <w:tr>
        <w:trPr>
          <w:trHeight w:val="31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 </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30.06</w:t>
            </w:r>
            <w:r>
              <w:rPr>
                <w:b/>
                <w:bCs/>
                <w:sz w:val="18"/>
                <w:szCs w:val="18"/>
              </w:rPr>
              <w:t>.</w:t>
            </w:r>
            <w:r>
              <w:rPr>
                <w:b/>
                <w:bCs/>
                <w:sz w:val="18"/>
                <w:szCs w:val="18"/>
              </w:rPr>
              <w:t>20</w:t>
            </w:r>
            <w:r>
              <w:rPr>
                <w:b/>
                <w:bCs/>
                <w:sz w:val="18"/>
                <w:szCs w:val="18"/>
              </w:rPr>
              <w:t>10</w:t>
            </w:r>
            <w:r>
              <w:rPr>
                <w:b/>
                <w:bCs/>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Kredi ve Diğer Alacaklara İlişkin Özel Karşılıklar</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1.421</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403</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III.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135</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1.286</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352</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xml:space="preserve">Genel Karşılık Giderleri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8.477</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128</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Muhtemel Riskler için Ayrılan Serbest Karşılık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Menkul Değerler Değer Düşme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Gerçeğe Uygun Değer Farkı Kar veya Zarara Yansıtılan FV</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Satılmaya Hazır Finansal Varlıklar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86"/>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İştirakler, Bağlı Ortaklıklar ve VKET Men. Değ. Değer Düşüş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231</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2.937</w:t>
            </w:r>
          </w:p>
        </w:tc>
      </w:tr>
      <w:tr>
        <w:trPr>
          <w:trHeight w:val="255"/>
        </w:trPr>
        <w:tc>
          <w:tcPr>
            <w:tcW w:w="5386"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İştirakler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159</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1.377</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Bağlı Ortaklıklar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72</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1.560</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Birlikte Kontrol Edilen Ortaklıklar (iş ortaklıkları)</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Vadeye Kadar Elde Tutulacak Yatırımlar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70"/>
        </w:trPr>
        <w:tc>
          <w:tcPr>
            <w:tcW w:w="5386"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Toplam</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10.129</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3.468</w:t>
            </w:r>
          </w:p>
        </w:tc>
      </w:tr>
    </w:tbl>
    <w:p>
      <w:pPr>
        <w:tabs>
          <w:tab w:val="left" w:pos="540"/>
        </w:tabs>
        <w:jc w:val="both"/>
        <w:rPr>
          <w:b/>
          <w:bCs/>
          <w:sz w:val="22"/>
          <w:szCs w:val="22"/>
        </w:rPr>
      </w:pPr>
    </w:p>
    <w:p>
      <w:pPr>
        <w:tabs>
          <w:tab w:val="left" w:pos="540"/>
        </w:tabs>
        <w:jc w:val="both"/>
        <w:rPr>
          <w:b/>
          <w:bCs/>
          <w:sz w:val="22"/>
          <w:szCs w:val="22"/>
        </w:rPr>
      </w:pPr>
      <w:r>
        <w:rPr>
          <w:b/>
          <w:bCs/>
          <w:sz w:val="22"/>
          <w:szCs w:val="22"/>
        </w:rPr>
        <w:t>7.</w:t>
      </w:r>
      <w:r>
        <w:rPr>
          <w:b/>
          <w:bCs/>
          <w:sz w:val="22"/>
          <w:szCs w:val="22"/>
        </w:rPr>
        <w:tab/>
      </w:r>
      <w:r>
        <w:rPr>
          <w:b/>
          <w:bCs/>
          <w:sz w:val="22"/>
          <w:szCs w:val="22"/>
        </w:rPr>
        <w:t xml:space="preserve">Diğer faaliyet giderlerine ilişkin bilgiler:  </w:t>
      </w:r>
    </w:p>
    <w:p>
      <w:pPr>
        <w:jc w:val="both"/>
        <w:rPr>
          <w:b/>
          <w:bCs/>
          <w:sz w:val="12"/>
          <w:szCs w:val="12"/>
        </w:rPr>
      </w:pPr>
    </w:p>
    <w:tbl>
      <w:tblPr>
        <w:tblW w:w="9072" w:type="dxa"/>
        <w:tblInd w:w="637" w:type="dxa"/>
        <w:tblLayout w:type="fixed"/>
        <w:tblCellMar>
          <w:left w:w="70" w:type="dxa"/>
          <w:right w:w="70" w:type="dxa"/>
        </w:tblCellMar>
        <w:tblLook w:val="00A0"/>
      </w:tblPr>
      <w:tblGrid>
        <w:gridCol w:w="5387"/>
        <w:gridCol w:w="1843"/>
        <w:gridCol w:w="1842"/>
      </w:tblGrid>
      <w:tr>
        <w:trPr>
          <w:trHeight w:val="31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843"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30.06</w:t>
            </w:r>
            <w:r>
              <w:rPr>
                <w:b/>
                <w:bCs/>
                <w:sz w:val="18"/>
                <w:szCs w:val="18"/>
              </w:rPr>
              <w:t>.201</w:t>
            </w:r>
            <w:r>
              <w:rPr>
                <w:b/>
                <w:bCs/>
                <w:sz w:val="18"/>
                <w:szCs w:val="18"/>
              </w:rPr>
              <w:t>1</w:t>
            </w:r>
            <w:r>
              <w:rPr>
                <w:b/>
                <w:bCs/>
                <w:sz w:val="18"/>
                <w:szCs w:val="18"/>
              </w:rPr>
              <w:t>)</w:t>
            </w:r>
          </w:p>
        </w:tc>
        <w:tc>
          <w:tcPr>
            <w:tcW w:w="1842"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30.06</w:t>
            </w:r>
            <w:r>
              <w:rPr>
                <w:b/>
                <w:bCs/>
                <w:sz w:val="18"/>
                <w:szCs w:val="18"/>
              </w:rPr>
              <w:t>.20</w:t>
            </w:r>
            <w:r>
              <w:rPr>
                <w:b/>
                <w:bCs/>
                <w:sz w:val="18"/>
                <w:szCs w:val="18"/>
              </w:rPr>
              <w:t>10</w:t>
            </w:r>
            <w:r>
              <w:rPr>
                <w:b/>
                <w:bCs/>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21.754</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21.270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Kıdem Tazminatı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1.701</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994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Varlık Açıkları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Maddi Duran Varlık Değer Düşüş Giderleri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1.647</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1.666</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Şerefiye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218</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252</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Özkaynak Yöntemi Uygulanan Ortaklık Payları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40</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Satış Amaçlı Elde Tutulan ve Durdurulan Faaliyetlere İlişkin Duran Varlıklar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İşletme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3.419</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3.071</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Faaliyet Kiralama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23</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Bakım ve Onarım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553</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543</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Reklam ve İlan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34</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 Giderler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2.808</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2.425</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Aktiflerin Satışından Doğan Zararlar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1.202</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1.054</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1.102</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843"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29.848</w:t>
            </w:r>
          </w:p>
        </w:tc>
        <w:tc>
          <w:tcPr>
            <w:tcW w:w="1842"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29.602</w:t>
            </w:r>
          </w:p>
        </w:tc>
      </w:tr>
    </w:tbl>
    <w:p>
      <w:pPr>
        <w:ind w:left="993" w:hanging="426"/>
        <w:jc w:val="both"/>
        <w:rPr>
          <w:b/>
          <w:bCs/>
          <w:sz w:val="12"/>
          <w:szCs w:val="12"/>
        </w:rPr>
      </w:pPr>
    </w:p>
    <w:p>
      <w:pPr>
        <w:ind w:left="993" w:hanging="426"/>
        <w:jc w:val="both"/>
        <w:rPr>
          <w:bCs/>
          <w:sz w:val="18"/>
          <w:szCs w:val="18"/>
        </w:rPr>
      </w:pPr>
      <w:r>
        <w:rPr>
          <w:bCs/>
          <w:sz w:val="18"/>
          <w:szCs w:val="18"/>
        </w:rPr>
        <w:t>(*)</w:t>
      </w:r>
      <w:r>
        <w:rPr>
          <w:b/>
          <w:bCs/>
          <w:sz w:val="18"/>
          <w:szCs w:val="18"/>
        </w:rPr>
        <w:tab/>
      </w:r>
      <w:r>
        <w:rPr>
          <w:bCs/>
          <w:sz w:val="18"/>
          <w:szCs w:val="18"/>
        </w:rPr>
        <w:t>Diğer giderlerin</w:t>
      </w:r>
      <w:r>
        <w:rPr>
          <w:bCs/>
          <w:sz w:val="18"/>
          <w:szCs w:val="18"/>
        </w:rPr>
        <w:t xml:space="preserve"> 844</w:t>
      </w:r>
      <w:r>
        <w:rPr>
          <w:bCs/>
          <w:sz w:val="18"/>
          <w:szCs w:val="18"/>
        </w:rPr>
        <w:t xml:space="preserve"> Bin TL tutarındaki kısmı temizlik giderlerinden</w:t>
      </w:r>
      <w:r>
        <w:rPr>
          <w:bCs/>
          <w:sz w:val="18"/>
          <w:szCs w:val="18"/>
        </w:rPr>
        <w:t xml:space="preserve"> (</w:t>
      </w:r>
      <w:r>
        <w:rPr>
          <w:bCs/>
          <w:sz w:val="18"/>
          <w:szCs w:val="18"/>
        </w:rPr>
        <w:t xml:space="preserve">30 Haziran </w:t>
      </w:r>
      <w:r>
        <w:rPr>
          <w:bCs/>
          <w:sz w:val="18"/>
          <w:szCs w:val="18"/>
        </w:rPr>
        <w:t xml:space="preserve"> </w:t>
      </w:r>
      <w:r>
        <w:rPr>
          <w:bCs/>
          <w:sz w:val="18"/>
          <w:szCs w:val="18"/>
        </w:rPr>
        <w:t>20</w:t>
      </w:r>
      <w:r>
        <w:rPr>
          <w:bCs/>
          <w:sz w:val="18"/>
          <w:szCs w:val="18"/>
        </w:rPr>
        <w:t>10</w:t>
      </w:r>
      <w:r>
        <w:rPr>
          <w:bCs/>
          <w:sz w:val="18"/>
          <w:szCs w:val="18"/>
        </w:rPr>
        <w:t xml:space="preserve">: </w:t>
      </w:r>
      <w:r>
        <w:rPr>
          <w:bCs/>
          <w:sz w:val="18"/>
          <w:szCs w:val="18"/>
        </w:rPr>
        <w:t>787</w:t>
      </w:r>
      <w:r>
        <w:rPr>
          <w:bCs/>
          <w:sz w:val="18"/>
          <w:szCs w:val="18"/>
        </w:rPr>
        <w:t xml:space="preserve"> Bin TL)</w:t>
      </w:r>
      <w:r>
        <w:rPr>
          <w:bCs/>
          <w:sz w:val="18"/>
          <w:szCs w:val="18"/>
        </w:rPr>
        <w:t xml:space="preserve">, </w:t>
      </w:r>
      <w:r>
        <w:rPr>
          <w:bCs/>
          <w:sz w:val="18"/>
          <w:szCs w:val="18"/>
        </w:rPr>
        <w:t>345</w:t>
      </w:r>
      <w:r>
        <w:rPr>
          <w:bCs/>
          <w:sz w:val="18"/>
          <w:szCs w:val="18"/>
        </w:rPr>
        <w:t xml:space="preserve"> Bin TL tutarındaki kısmı ısıtma, aydınlatma ve su giderlerinden</w:t>
      </w:r>
      <w:r>
        <w:rPr>
          <w:bCs/>
          <w:sz w:val="18"/>
          <w:szCs w:val="18"/>
        </w:rPr>
        <w:t xml:space="preserve"> (3</w:t>
      </w:r>
      <w:r>
        <w:rPr>
          <w:bCs/>
          <w:sz w:val="18"/>
          <w:szCs w:val="18"/>
        </w:rPr>
        <w:t>1</w:t>
      </w:r>
      <w:r>
        <w:rPr>
          <w:bCs/>
          <w:sz w:val="18"/>
          <w:szCs w:val="18"/>
        </w:rPr>
        <w:t xml:space="preserve"> </w:t>
      </w:r>
      <w:r>
        <w:rPr>
          <w:bCs/>
          <w:sz w:val="18"/>
          <w:szCs w:val="18"/>
        </w:rPr>
        <w:t>Haziran</w:t>
      </w:r>
      <w:r>
        <w:rPr>
          <w:bCs/>
          <w:sz w:val="18"/>
          <w:szCs w:val="18"/>
        </w:rPr>
        <w:t xml:space="preserve"> 20</w:t>
      </w:r>
      <w:r>
        <w:rPr>
          <w:bCs/>
          <w:sz w:val="18"/>
          <w:szCs w:val="18"/>
        </w:rPr>
        <w:t>10</w:t>
      </w:r>
      <w:r>
        <w:rPr>
          <w:bCs/>
          <w:sz w:val="18"/>
          <w:szCs w:val="18"/>
        </w:rPr>
        <w:t xml:space="preserve">: </w:t>
      </w:r>
      <w:r>
        <w:rPr>
          <w:bCs/>
          <w:sz w:val="18"/>
          <w:szCs w:val="18"/>
        </w:rPr>
        <w:t>320</w:t>
      </w:r>
      <w:r>
        <w:rPr>
          <w:bCs/>
          <w:sz w:val="18"/>
          <w:szCs w:val="18"/>
        </w:rPr>
        <w:t xml:space="preserve"> Bin TL)</w:t>
      </w:r>
      <w:r>
        <w:rPr>
          <w:bCs/>
          <w:sz w:val="18"/>
          <w:szCs w:val="18"/>
        </w:rPr>
        <w:t xml:space="preserve">, </w:t>
      </w:r>
      <w:r>
        <w:rPr>
          <w:bCs/>
          <w:sz w:val="18"/>
          <w:szCs w:val="18"/>
        </w:rPr>
        <w:t>275</w:t>
      </w:r>
      <w:r>
        <w:rPr>
          <w:bCs/>
          <w:sz w:val="18"/>
          <w:szCs w:val="18"/>
        </w:rPr>
        <w:t xml:space="preserve"> Bin TL tutarındaki kısmı kiralama giderlerinden</w:t>
      </w:r>
      <w:r>
        <w:rPr>
          <w:bCs/>
          <w:sz w:val="18"/>
          <w:szCs w:val="18"/>
        </w:rPr>
        <w:t xml:space="preserve"> (</w:t>
      </w:r>
      <w:r>
        <w:rPr>
          <w:bCs/>
          <w:sz w:val="18"/>
          <w:szCs w:val="18"/>
        </w:rPr>
        <w:t>30 Haziran</w:t>
      </w:r>
      <w:r>
        <w:rPr>
          <w:bCs/>
          <w:sz w:val="18"/>
          <w:szCs w:val="18"/>
        </w:rPr>
        <w:t xml:space="preserve"> </w:t>
      </w:r>
      <w:r>
        <w:rPr>
          <w:bCs/>
          <w:sz w:val="18"/>
          <w:szCs w:val="18"/>
        </w:rPr>
        <w:t>20</w:t>
      </w:r>
      <w:r>
        <w:rPr>
          <w:bCs/>
          <w:sz w:val="18"/>
          <w:szCs w:val="18"/>
        </w:rPr>
        <w:t>10</w:t>
      </w:r>
      <w:r>
        <w:rPr>
          <w:bCs/>
          <w:sz w:val="18"/>
          <w:szCs w:val="18"/>
        </w:rPr>
        <w:t xml:space="preserve">: </w:t>
      </w:r>
      <w:r>
        <w:rPr>
          <w:bCs/>
          <w:sz w:val="18"/>
          <w:szCs w:val="18"/>
        </w:rPr>
        <w:t>251</w:t>
      </w:r>
      <w:r>
        <w:rPr>
          <w:bCs/>
          <w:sz w:val="18"/>
          <w:szCs w:val="18"/>
        </w:rPr>
        <w:t xml:space="preserve"> Bin TL)</w:t>
      </w:r>
      <w:r>
        <w:rPr>
          <w:bCs/>
          <w:sz w:val="18"/>
          <w:szCs w:val="18"/>
        </w:rPr>
        <w:t xml:space="preserve">, </w:t>
      </w:r>
      <w:r>
        <w:rPr>
          <w:bCs/>
          <w:sz w:val="18"/>
          <w:szCs w:val="18"/>
        </w:rPr>
        <w:t>278</w:t>
      </w:r>
      <w:r>
        <w:rPr>
          <w:bCs/>
          <w:sz w:val="18"/>
          <w:szCs w:val="18"/>
        </w:rPr>
        <w:t xml:space="preserve"> Bin TL tutarındaki kısmı güvenlik giderlerinden</w:t>
      </w:r>
      <w:r>
        <w:rPr>
          <w:bCs/>
          <w:sz w:val="18"/>
          <w:szCs w:val="18"/>
        </w:rPr>
        <w:t xml:space="preserve"> (</w:t>
      </w:r>
      <w:r>
        <w:rPr>
          <w:bCs/>
          <w:sz w:val="18"/>
          <w:szCs w:val="18"/>
        </w:rPr>
        <w:t>30 Haziran</w:t>
      </w:r>
      <w:r>
        <w:rPr>
          <w:bCs/>
          <w:sz w:val="18"/>
          <w:szCs w:val="18"/>
        </w:rPr>
        <w:t xml:space="preserve"> 20</w:t>
      </w:r>
      <w:r>
        <w:rPr>
          <w:bCs/>
          <w:sz w:val="18"/>
          <w:szCs w:val="18"/>
        </w:rPr>
        <w:t>10</w:t>
      </w:r>
      <w:r>
        <w:rPr>
          <w:bCs/>
          <w:sz w:val="18"/>
          <w:szCs w:val="18"/>
        </w:rPr>
        <w:t xml:space="preserve">: </w:t>
      </w:r>
      <w:r>
        <w:rPr>
          <w:bCs/>
          <w:sz w:val="18"/>
          <w:szCs w:val="18"/>
        </w:rPr>
        <w:t>268</w:t>
      </w:r>
      <w:r>
        <w:rPr>
          <w:bCs/>
          <w:sz w:val="18"/>
          <w:szCs w:val="18"/>
        </w:rPr>
        <w:t xml:space="preserve"> Bin TL)</w:t>
      </w:r>
      <w:r>
        <w:rPr>
          <w:bCs/>
          <w:sz w:val="18"/>
          <w:szCs w:val="18"/>
        </w:rPr>
        <w:t>,</w:t>
      </w:r>
      <w:r>
        <w:rPr>
          <w:bCs/>
          <w:sz w:val="18"/>
          <w:szCs w:val="18"/>
        </w:rPr>
        <w:t xml:space="preserve"> </w:t>
      </w:r>
      <w:r>
        <w:rPr>
          <w:bCs/>
          <w:sz w:val="18"/>
          <w:szCs w:val="18"/>
        </w:rPr>
        <w:t>167</w:t>
      </w:r>
      <w:r>
        <w:rPr>
          <w:bCs/>
          <w:sz w:val="18"/>
          <w:szCs w:val="18"/>
        </w:rPr>
        <w:t xml:space="preserve"> Bin TL tutarındaki kısmı kreş giderlerinden</w:t>
      </w:r>
      <w:r>
        <w:rPr>
          <w:bCs/>
          <w:sz w:val="18"/>
          <w:szCs w:val="18"/>
        </w:rPr>
        <w:t xml:space="preserve"> (</w:t>
      </w:r>
      <w:r>
        <w:rPr>
          <w:bCs/>
          <w:sz w:val="18"/>
          <w:szCs w:val="18"/>
        </w:rPr>
        <w:t>30 Haziran</w:t>
      </w:r>
      <w:r>
        <w:rPr>
          <w:bCs/>
          <w:sz w:val="18"/>
          <w:szCs w:val="18"/>
        </w:rPr>
        <w:t xml:space="preserve"> 2</w:t>
      </w:r>
      <w:r>
        <w:rPr>
          <w:bCs/>
          <w:sz w:val="18"/>
          <w:szCs w:val="18"/>
        </w:rPr>
        <w:t>010</w:t>
      </w:r>
      <w:r>
        <w:rPr>
          <w:bCs/>
          <w:sz w:val="18"/>
          <w:szCs w:val="18"/>
        </w:rPr>
        <w:t>:</w:t>
      </w:r>
      <w:r>
        <w:rPr>
          <w:bCs/>
          <w:sz w:val="18"/>
          <w:szCs w:val="18"/>
        </w:rPr>
        <w:t xml:space="preserve"> </w:t>
      </w:r>
      <w:r>
        <w:rPr>
          <w:bCs/>
          <w:sz w:val="18"/>
          <w:szCs w:val="18"/>
        </w:rPr>
        <w:t>154</w:t>
      </w:r>
      <w:r>
        <w:rPr>
          <w:bCs/>
          <w:sz w:val="18"/>
          <w:szCs w:val="18"/>
        </w:rPr>
        <w:t xml:space="preserve"> Bin TL)</w:t>
      </w:r>
      <w:r>
        <w:rPr>
          <w:bCs/>
          <w:sz w:val="18"/>
          <w:szCs w:val="18"/>
        </w:rPr>
        <w:t xml:space="preserve">, </w:t>
      </w:r>
      <w:r>
        <w:rPr>
          <w:bCs/>
          <w:sz w:val="18"/>
          <w:szCs w:val="18"/>
        </w:rPr>
        <w:t>158</w:t>
      </w:r>
      <w:r>
        <w:rPr>
          <w:bCs/>
          <w:sz w:val="18"/>
          <w:szCs w:val="18"/>
        </w:rPr>
        <w:t xml:space="preserve"> Bin TL tutarındaki kısmı haberleşme giderlerinden</w:t>
      </w:r>
      <w:r>
        <w:rPr>
          <w:bCs/>
          <w:sz w:val="18"/>
          <w:szCs w:val="18"/>
        </w:rPr>
        <w:t xml:space="preserve"> (</w:t>
      </w:r>
      <w:r>
        <w:rPr>
          <w:bCs/>
          <w:sz w:val="18"/>
          <w:szCs w:val="18"/>
        </w:rPr>
        <w:t>30 Haziran</w:t>
      </w:r>
      <w:r>
        <w:rPr>
          <w:bCs/>
          <w:sz w:val="18"/>
          <w:szCs w:val="18"/>
        </w:rPr>
        <w:t xml:space="preserve"> 20</w:t>
      </w:r>
      <w:r>
        <w:rPr>
          <w:bCs/>
          <w:sz w:val="18"/>
          <w:szCs w:val="18"/>
        </w:rPr>
        <w:t>10</w:t>
      </w:r>
      <w:r>
        <w:rPr>
          <w:bCs/>
          <w:sz w:val="18"/>
          <w:szCs w:val="18"/>
        </w:rPr>
        <w:t>:</w:t>
      </w:r>
      <w:r>
        <w:rPr>
          <w:bCs/>
          <w:sz w:val="18"/>
          <w:szCs w:val="18"/>
        </w:rPr>
        <w:t xml:space="preserve"> </w:t>
      </w:r>
      <w:r>
        <w:rPr>
          <w:bCs/>
          <w:sz w:val="18"/>
          <w:szCs w:val="18"/>
        </w:rPr>
        <w:t>135</w:t>
      </w:r>
      <w:r>
        <w:rPr>
          <w:bCs/>
          <w:sz w:val="18"/>
          <w:szCs w:val="18"/>
        </w:rPr>
        <w:t xml:space="preserve"> Bin TL)</w:t>
      </w:r>
      <w:r>
        <w:rPr>
          <w:bCs/>
          <w:sz w:val="18"/>
          <w:szCs w:val="18"/>
        </w:rPr>
        <w:t xml:space="preserve">, </w:t>
      </w:r>
      <w:r>
        <w:rPr>
          <w:bCs/>
          <w:sz w:val="18"/>
          <w:szCs w:val="18"/>
        </w:rPr>
        <w:t>217</w:t>
      </w:r>
      <w:r>
        <w:rPr>
          <w:bCs/>
          <w:sz w:val="18"/>
          <w:szCs w:val="18"/>
        </w:rPr>
        <w:t xml:space="preserve"> Bin TL tutarındaki kısmı bilgisayar kullanım giderlerinden </w:t>
      </w:r>
      <w:r>
        <w:rPr>
          <w:bCs/>
          <w:sz w:val="18"/>
          <w:szCs w:val="18"/>
        </w:rPr>
        <w:t>(</w:t>
      </w:r>
      <w:r>
        <w:rPr>
          <w:bCs/>
          <w:sz w:val="18"/>
          <w:szCs w:val="18"/>
        </w:rPr>
        <w:t>30 Haziran</w:t>
      </w:r>
      <w:r>
        <w:rPr>
          <w:bCs/>
          <w:sz w:val="18"/>
          <w:szCs w:val="18"/>
        </w:rPr>
        <w:t xml:space="preserve"> 20</w:t>
      </w:r>
      <w:r>
        <w:rPr>
          <w:bCs/>
          <w:sz w:val="18"/>
          <w:szCs w:val="18"/>
        </w:rPr>
        <w:t>10</w:t>
      </w:r>
      <w:r>
        <w:rPr>
          <w:bCs/>
          <w:sz w:val="18"/>
          <w:szCs w:val="18"/>
        </w:rPr>
        <w:t xml:space="preserve">: </w:t>
      </w:r>
      <w:r>
        <w:rPr>
          <w:bCs/>
          <w:sz w:val="18"/>
          <w:szCs w:val="18"/>
        </w:rPr>
        <w:t>108</w:t>
      </w:r>
      <w:r>
        <w:rPr>
          <w:bCs/>
          <w:sz w:val="18"/>
          <w:szCs w:val="18"/>
        </w:rPr>
        <w:t xml:space="preserve"> </w:t>
      </w:r>
      <w:r>
        <w:rPr>
          <w:bCs/>
          <w:sz w:val="18"/>
          <w:szCs w:val="18"/>
        </w:rPr>
        <w:t>Bin TL)</w:t>
      </w:r>
      <w:r>
        <w:rPr>
          <w:bCs/>
          <w:sz w:val="18"/>
          <w:szCs w:val="18"/>
        </w:rPr>
        <w:t xml:space="preserve">, </w:t>
      </w:r>
      <w:r>
        <w:rPr>
          <w:bCs/>
          <w:sz w:val="18"/>
          <w:szCs w:val="18"/>
        </w:rPr>
        <w:t>187</w:t>
      </w:r>
      <w:r>
        <w:rPr>
          <w:bCs/>
          <w:sz w:val="18"/>
          <w:szCs w:val="18"/>
        </w:rPr>
        <w:t xml:space="preserve"> Bin TL tutarındaki kısmı taşıt aracı giderlerinden (</w:t>
      </w:r>
      <w:r>
        <w:rPr>
          <w:bCs/>
          <w:sz w:val="18"/>
          <w:szCs w:val="18"/>
        </w:rPr>
        <w:t>30 Haziran</w:t>
      </w:r>
      <w:r>
        <w:rPr>
          <w:bCs/>
          <w:sz w:val="18"/>
          <w:szCs w:val="18"/>
        </w:rPr>
        <w:t xml:space="preserve"> 20</w:t>
      </w:r>
      <w:r>
        <w:rPr>
          <w:bCs/>
          <w:sz w:val="18"/>
          <w:szCs w:val="18"/>
        </w:rPr>
        <w:t>10</w:t>
      </w:r>
      <w:r>
        <w:rPr>
          <w:bCs/>
          <w:sz w:val="18"/>
          <w:szCs w:val="18"/>
        </w:rPr>
        <w:t>:</w:t>
      </w:r>
      <w:r>
        <w:rPr>
          <w:bCs/>
          <w:sz w:val="18"/>
          <w:szCs w:val="18"/>
        </w:rPr>
        <w:t xml:space="preserve"> </w:t>
      </w:r>
      <w:r>
        <w:rPr>
          <w:bCs/>
          <w:sz w:val="18"/>
          <w:szCs w:val="18"/>
        </w:rPr>
        <w:t>100</w:t>
      </w:r>
      <w:r>
        <w:rPr>
          <w:bCs/>
          <w:sz w:val="18"/>
          <w:szCs w:val="18"/>
        </w:rPr>
        <w:t xml:space="preserve"> Bin TL)</w:t>
      </w:r>
      <w:r>
        <w:rPr>
          <w:bCs/>
          <w:sz w:val="18"/>
          <w:szCs w:val="18"/>
        </w:rPr>
        <w:t xml:space="preserve">. </w:t>
      </w:r>
      <w:r>
        <w:rPr>
          <w:bCs/>
          <w:sz w:val="18"/>
          <w:szCs w:val="18"/>
        </w:rPr>
        <w:t>337</w:t>
      </w:r>
      <w:r>
        <w:rPr>
          <w:bCs/>
          <w:sz w:val="18"/>
          <w:szCs w:val="18"/>
        </w:rPr>
        <w:t xml:space="preserve"> Bin TL(</w:t>
      </w:r>
      <w:r>
        <w:rPr>
          <w:bCs/>
          <w:sz w:val="18"/>
          <w:szCs w:val="18"/>
        </w:rPr>
        <w:t>30 Haziran</w:t>
      </w:r>
      <w:r>
        <w:rPr>
          <w:bCs/>
          <w:sz w:val="18"/>
          <w:szCs w:val="18"/>
        </w:rPr>
        <w:t xml:space="preserve"> 20</w:t>
      </w:r>
      <w:r>
        <w:rPr>
          <w:bCs/>
          <w:sz w:val="18"/>
          <w:szCs w:val="18"/>
        </w:rPr>
        <w:t>10</w:t>
      </w:r>
      <w:r>
        <w:rPr>
          <w:bCs/>
          <w:sz w:val="18"/>
          <w:szCs w:val="18"/>
        </w:rPr>
        <w:t xml:space="preserve">: </w:t>
      </w:r>
      <w:r>
        <w:rPr>
          <w:bCs/>
          <w:sz w:val="18"/>
          <w:szCs w:val="18"/>
        </w:rPr>
        <w:t>302</w:t>
      </w:r>
      <w:r>
        <w:rPr>
          <w:bCs/>
          <w:sz w:val="18"/>
          <w:szCs w:val="18"/>
        </w:rPr>
        <w:t xml:space="preserve"> Bin TL) tutarındaki kalan kısım diğer çeşitli giderlerden oluşmaktadır.</w:t>
      </w:r>
    </w:p>
    <w:p>
      <w:pPr>
        <w:tabs>
          <w:tab w:val="left" w:pos="567"/>
        </w:tabs>
        <w:jc w:val="both"/>
        <w:rPr>
          <w:b/>
          <w:bCs/>
          <w:sz w:val="22"/>
          <w:szCs w:val="22"/>
        </w:rPr>
      </w:pPr>
      <w:r>
        <w:rPr>
          <w:b/>
          <w:bCs/>
          <w:sz w:val="22"/>
          <w:szCs w:val="22"/>
        </w:rPr>
        <w:br w:type="page"/>
      </w:r>
      <w:r>
        <w:rPr>
          <w:b/>
          <w:bCs/>
          <w:sz w:val="22"/>
          <w:szCs w:val="22"/>
        </w:rPr>
        <w:lastRenderedPageBreak/>
        <w:t xml:space="preserve"> </w:t>
      </w:r>
    </w:p>
    <w:p>
      <w:pPr>
        <w:tabs>
          <w:tab w:val="left" w:pos="567"/>
        </w:tabs>
        <w:jc w:val="both"/>
        <w:rPr>
          <w:b/>
          <w:bCs/>
          <w:sz w:val="22"/>
          <w:szCs w:val="22"/>
        </w:rPr>
      </w:pP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tabs>
          <w:tab w:val="left" w:pos="567"/>
        </w:tabs>
        <w:jc w:val="both"/>
        <w:rPr>
          <w:b/>
          <w:bCs/>
          <w:sz w:val="22"/>
          <w:szCs w:val="22"/>
        </w:rPr>
      </w:pPr>
    </w:p>
    <w:p>
      <w:pPr>
        <w:tabs>
          <w:tab w:val="left" w:pos="567"/>
        </w:tabs>
        <w:spacing w:line="240" w:lineRule="atLeast"/>
        <w:jc w:val="both"/>
        <w:rPr>
          <w:b/>
          <w:bCs/>
          <w:sz w:val="22"/>
          <w:szCs w:val="22"/>
        </w:rPr>
      </w:pPr>
      <w:r>
        <w:rPr>
          <w:b/>
          <w:bCs/>
          <w:sz w:val="22"/>
          <w:szCs w:val="22"/>
        </w:rPr>
        <w:t>8.</w:t>
      </w:r>
      <w:r>
        <w:rPr>
          <w:b/>
          <w:bCs/>
          <w:sz w:val="22"/>
          <w:szCs w:val="22"/>
        </w:rPr>
        <w:tab/>
      </w:r>
      <w:r>
        <w:rPr>
          <w:b/>
          <w:bCs/>
          <w:sz w:val="22"/>
          <w:szCs w:val="22"/>
        </w:rPr>
        <w:t>Sürdürülen faaliyetler ile durdurulan faaliyetler vergi öncesi k</w:t>
      </w:r>
      <w:r>
        <w:rPr>
          <w:b/>
          <w:bCs/>
          <w:sz w:val="22"/>
          <w:szCs w:val="22"/>
        </w:rPr>
        <w:t>a</w:t>
      </w:r>
      <w:r>
        <w:rPr>
          <w:b/>
          <w:bCs/>
          <w:sz w:val="22"/>
          <w:szCs w:val="22"/>
        </w:rPr>
        <w:t>r/zararına ilişkin açıklama:</w:t>
      </w:r>
    </w:p>
    <w:p>
      <w:pPr>
        <w:tabs>
          <w:tab w:val="left" w:pos="567"/>
        </w:tabs>
        <w:spacing w:line="240" w:lineRule="atLeast"/>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tabs>
          <w:tab w:val="num" w:pos="0"/>
          <w:tab w:val="left" w:pos="567"/>
          <w:tab w:val="left" w:pos="720"/>
        </w:tabs>
        <w:spacing w:line="240" w:lineRule="atLeast"/>
        <w:ind w:left="567"/>
        <w:jc w:val="both"/>
        <w:rPr>
          <w:bCs/>
          <w:sz w:val="22"/>
          <w:szCs w:val="22"/>
        </w:rPr>
      </w:pPr>
    </w:p>
    <w:p>
      <w:pPr>
        <w:tabs>
          <w:tab w:val="left" w:pos="567"/>
        </w:tabs>
        <w:spacing w:line="240" w:lineRule="atLeast"/>
        <w:rPr>
          <w:b/>
          <w:bCs/>
          <w:sz w:val="22"/>
          <w:szCs w:val="22"/>
        </w:rPr>
      </w:pPr>
      <w:r>
        <w:rPr>
          <w:b/>
          <w:bCs/>
          <w:sz w:val="22"/>
          <w:szCs w:val="22"/>
        </w:rPr>
        <w:t>9.</w:t>
      </w:r>
      <w:r>
        <w:rPr>
          <w:b/>
          <w:bCs/>
          <w:sz w:val="22"/>
          <w:szCs w:val="22"/>
        </w:rPr>
        <w:tab/>
      </w:r>
      <w:r>
        <w:rPr>
          <w:b/>
          <w:bCs/>
          <w:sz w:val="22"/>
          <w:szCs w:val="22"/>
        </w:rPr>
        <w:t>Sürdürülen faaliyetler ile durdurulan faaliyetler vergi karşılığına ilişkin açıklama:</w:t>
      </w:r>
    </w:p>
    <w:p>
      <w:pPr>
        <w:pStyle w:val="1tipi"/>
        <w:tabs>
          <w:tab w:val="clear" w:pos="1134"/>
          <w:tab w:val="left" w:pos="567"/>
        </w:tabs>
        <w:ind w:left="567"/>
        <w:rPr>
          <w:rFonts w:ascii="Times New Roman" w:hAnsi="Times New Roman" w:cs="Times New Roman"/>
          <w:sz w:val="22"/>
          <w:szCs w:val="22"/>
          <w:lang w:val="tr-TR" w:eastAsia="en-US"/>
        </w:rPr>
      </w:pPr>
    </w:p>
    <w:p>
      <w:pPr>
        <w:tabs>
          <w:tab w:val="left" w:pos="567"/>
          <w:tab w:val="left" w:pos="720"/>
        </w:tabs>
        <w:spacing w:line="240" w:lineRule="atLeast"/>
        <w:ind w:left="567"/>
        <w:jc w:val="both"/>
        <w:rPr>
          <w:bCs/>
          <w:sz w:val="22"/>
          <w:szCs w:val="22"/>
        </w:rPr>
      </w:pPr>
      <w:r>
        <w:rPr>
          <w:bCs/>
          <w:sz w:val="22"/>
          <w:szCs w:val="22"/>
        </w:rPr>
        <w:t>Banka</w:t>
      </w:r>
      <w:r>
        <w:rPr>
          <w:bCs/>
          <w:sz w:val="22"/>
          <w:szCs w:val="22"/>
        </w:rPr>
        <w:t>’</w:t>
      </w:r>
      <w:r>
        <w:rPr>
          <w:bCs/>
          <w:sz w:val="22"/>
          <w:szCs w:val="22"/>
        </w:rPr>
        <w:t xml:space="preserve">nın </w:t>
      </w:r>
      <w:r>
        <w:rPr>
          <w:bCs/>
          <w:sz w:val="22"/>
          <w:szCs w:val="22"/>
        </w:rPr>
        <w:t xml:space="preserve">30 Haziran </w:t>
      </w:r>
      <w:r>
        <w:rPr>
          <w:bCs/>
          <w:sz w:val="22"/>
          <w:szCs w:val="22"/>
        </w:rPr>
        <w:t>20</w:t>
      </w:r>
      <w:r>
        <w:rPr>
          <w:bCs/>
          <w:sz w:val="22"/>
          <w:szCs w:val="22"/>
        </w:rPr>
        <w:t>1</w:t>
      </w:r>
      <w:r>
        <w:rPr>
          <w:bCs/>
          <w:sz w:val="22"/>
          <w:szCs w:val="22"/>
        </w:rPr>
        <w:t>1</w:t>
      </w:r>
      <w:r>
        <w:rPr>
          <w:bCs/>
          <w:sz w:val="22"/>
          <w:szCs w:val="22"/>
        </w:rPr>
        <w:t xml:space="preserve"> </w:t>
      </w:r>
      <w:r>
        <w:rPr>
          <w:bCs/>
          <w:sz w:val="22"/>
          <w:szCs w:val="22"/>
        </w:rPr>
        <w:t>tarihi itibarıyla</w:t>
      </w:r>
      <w:r>
        <w:rPr>
          <w:bCs/>
          <w:sz w:val="22"/>
          <w:szCs w:val="22"/>
        </w:rPr>
        <w:t xml:space="preserve"> </w:t>
      </w:r>
      <w:r>
        <w:rPr>
          <w:bCs/>
          <w:sz w:val="22"/>
          <w:szCs w:val="22"/>
        </w:rPr>
        <w:t>3.144</w:t>
      </w:r>
      <w:r>
        <w:rPr>
          <w:bCs/>
          <w:sz w:val="22"/>
          <w:szCs w:val="22"/>
        </w:rPr>
        <w:t xml:space="preserve"> </w:t>
      </w:r>
      <w:r>
        <w:rPr>
          <w:bCs/>
          <w:sz w:val="22"/>
          <w:szCs w:val="22"/>
        </w:rPr>
        <w:t>Bin TL</w:t>
      </w:r>
      <w:r>
        <w:rPr>
          <w:bCs/>
          <w:sz w:val="22"/>
          <w:szCs w:val="22"/>
        </w:rPr>
        <w:t xml:space="preserve"> (</w:t>
      </w:r>
      <w:r>
        <w:rPr>
          <w:bCs/>
          <w:sz w:val="22"/>
          <w:szCs w:val="22"/>
        </w:rPr>
        <w:t>30 Haziran</w:t>
      </w:r>
      <w:r>
        <w:rPr>
          <w:bCs/>
          <w:sz w:val="22"/>
          <w:szCs w:val="22"/>
        </w:rPr>
        <w:t xml:space="preserve"> </w:t>
      </w:r>
      <w:r>
        <w:rPr>
          <w:bCs/>
          <w:sz w:val="22"/>
          <w:szCs w:val="22"/>
        </w:rPr>
        <w:t>20</w:t>
      </w:r>
      <w:r>
        <w:rPr>
          <w:bCs/>
          <w:sz w:val="22"/>
          <w:szCs w:val="22"/>
        </w:rPr>
        <w:t>10</w:t>
      </w:r>
      <w:r>
        <w:rPr>
          <w:bCs/>
          <w:sz w:val="22"/>
          <w:szCs w:val="22"/>
        </w:rPr>
        <w:t xml:space="preserve">: </w:t>
      </w:r>
      <w:r>
        <w:rPr>
          <w:bCs/>
          <w:sz w:val="22"/>
          <w:szCs w:val="22"/>
        </w:rPr>
        <w:t>3.646</w:t>
      </w:r>
      <w:r>
        <w:rPr>
          <w:bCs/>
          <w:sz w:val="22"/>
          <w:szCs w:val="22"/>
        </w:rPr>
        <w:t xml:space="preserve"> Bin TL) sürdürülen faaliyetlerinden hesapl</w:t>
      </w:r>
      <w:r>
        <w:rPr>
          <w:bCs/>
          <w:sz w:val="22"/>
          <w:szCs w:val="22"/>
        </w:rPr>
        <w:t xml:space="preserve">anan vergi karşılığı giderinin </w:t>
      </w:r>
      <w:r>
        <w:rPr>
          <w:bCs/>
          <w:sz w:val="22"/>
          <w:szCs w:val="22"/>
        </w:rPr>
        <w:t>2.868</w:t>
      </w:r>
      <w:r>
        <w:rPr>
          <w:bCs/>
          <w:sz w:val="22"/>
          <w:szCs w:val="22"/>
        </w:rPr>
        <w:t xml:space="preserve"> </w:t>
      </w:r>
      <w:r>
        <w:rPr>
          <w:bCs/>
          <w:sz w:val="22"/>
          <w:szCs w:val="22"/>
        </w:rPr>
        <w:t>B</w:t>
      </w:r>
      <w:r>
        <w:rPr>
          <w:bCs/>
          <w:sz w:val="22"/>
          <w:szCs w:val="22"/>
        </w:rPr>
        <w:t>in TL tutarındaki kısmı cari vergi giderinden</w:t>
      </w:r>
      <w:r>
        <w:rPr>
          <w:bCs/>
          <w:sz w:val="22"/>
          <w:szCs w:val="22"/>
        </w:rPr>
        <w:t xml:space="preserve"> </w:t>
      </w:r>
      <w:r>
        <w:rPr>
          <w:bCs/>
          <w:sz w:val="22"/>
          <w:szCs w:val="22"/>
        </w:rPr>
        <w:t>(</w:t>
      </w:r>
      <w:r>
        <w:rPr>
          <w:bCs/>
          <w:sz w:val="22"/>
          <w:szCs w:val="22"/>
        </w:rPr>
        <w:t>30 Haziran</w:t>
      </w:r>
      <w:r>
        <w:rPr>
          <w:bCs/>
          <w:sz w:val="22"/>
          <w:szCs w:val="22"/>
        </w:rPr>
        <w:t xml:space="preserve"> 20</w:t>
      </w:r>
      <w:r>
        <w:rPr>
          <w:bCs/>
          <w:sz w:val="22"/>
          <w:szCs w:val="22"/>
        </w:rPr>
        <w:t>10</w:t>
      </w:r>
      <w:r>
        <w:rPr>
          <w:bCs/>
          <w:sz w:val="22"/>
          <w:szCs w:val="22"/>
        </w:rPr>
        <w:t xml:space="preserve">: </w:t>
      </w:r>
      <w:r>
        <w:rPr>
          <w:bCs/>
          <w:sz w:val="22"/>
          <w:szCs w:val="22"/>
        </w:rPr>
        <w:t>1.339</w:t>
      </w:r>
      <w:r>
        <w:rPr>
          <w:bCs/>
          <w:sz w:val="22"/>
          <w:szCs w:val="22"/>
        </w:rPr>
        <w:t xml:space="preserve"> Bin TL)</w:t>
      </w:r>
      <w:r>
        <w:rPr>
          <w:bCs/>
          <w:sz w:val="22"/>
          <w:szCs w:val="22"/>
        </w:rPr>
        <w:t>,</w:t>
      </w:r>
      <w:r>
        <w:rPr>
          <w:bCs/>
          <w:sz w:val="22"/>
          <w:szCs w:val="22"/>
        </w:rPr>
        <w:t xml:space="preserve"> </w:t>
      </w:r>
      <w:r>
        <w:rPr>
          <w:bCs/>
          <w:sz w:val="22"/>
          <w:szCs w:val="22"/>
        </w:rPr>
        <w:t>276</w:t>
      </w:r>
      <w:r>
        <w:rPr>
          <w:bCs/>
          <w:sz w:val="22"/>
          <w:szCs w:val="22"/>
        </w:rPr>
        <w:t xml:space="preserve"> Bin TL</w:t>
      </w:r>
      <w:r>
        <w:rPr>
          <w:bCs/>
          <w:sz w:val="22"/>
          <w:szCs w:val="22"/>
        </w:rPr>
        <w:t xml:space="preserve"> tutarındaki kısmı</w:t>
      </w:r>
      <w:r>
        <w:rPr>
          <w:bCs/>
          <w:sz w:val="22"/>
          <w:szCs w:val="22"/>
        </w:rPr>
        <w:t xml:space="preserve"> </w:t>
      </w:r>
      <w:r>
        <w:rPr>
          <w:bCs/>
          <w:sz w:val="22"/>
          <w:szCs w:val="22"/>
        </w:rPr>
        <w:t xml:space="preserve">ertelenmiş vergi </w:t>
      </w:r>
      <w:r>
        <w:rPr>
          <w:bCs/>
          <w:sz w:val="22"/>
          <w:szCs w:val="22"/>
        </w:rPr>
        <w:t>gider</w:t>
      </w:r>
      <w:r>
        <w:rPr>
          <w:bCs/>
          <w:sz w:val="22"/>
          <w:szCs w:val="22"/>
        </w:rPr>
        <w:t>inden</w:t>
      </w:r>
      <w:r>
        <w:rPr>
          <w:bCs/>
          <w:sz w:val="22"/>
          <w:szCs w:val="22"/>
        </w:rPr>
        <w:t xml:space="preserve"> </w:t>
      </w:r>
      <w:r>
        <w:rPr>
          <w:bCs/>
          <w:sz w:val="22"/>
          <w:szCs w:val="22"/>
        </w:rPr>
        <w:t>(</w:t>
      </w:r>
      <w:r>
        <w:rPr>
          <w:bCs/>
          <w:sz w:val="22"/>
          <w:szCs w:val="22"/>
        </w:rPr>
        <w:t>30 Haziran</w:t>
      </w:r>
      <w:r>
        <w:rPr>
          <w:bCs/>
          <w:sz w:val="22"/>
          <w:szCs w:val="22"/>
        </w:rPr>
        <w:t xml:space="preserve"> 2010</w:t>
      </w:r>
      <w:r>
        <w:rPr>
          <w:bCs/>
          <w:sz w:val="22"/>
          <w:szCs w:val="22"/>
        </w:rPr>
        <w:t xml:space="preserve">: </w:t>
      </w:r>
      <w:r>
        <w:rPr>
          <w:bCs/>
          <w:sz w:val="22"/>
          <w:szCs w:val="22"/>
        </w:rPr>
        <w:t>2.307</w:t>
      </w:r>
      <w:r>
        <w:rPr>
          <w:bCs/>
          <w:sz w:val="22"/>
          <w:szCs w:val="22"/>
        </w:rPr>
        <w:t xml:space="preserve"> </w:t>
      </w:r>
      <w:r>
        <w:rPr>
          <w:bCs/>
          <w:sz w:val="22"/>
          <w:szCs w:val="22"/>
        </w:rPr>
        <w:t>Bin TL</w:t>
      </w:r>
      <w:r>
        <w:rPr>
          <w:bCs/>
          <w:sz w:val="22"/>
          <w:szCs w:val="22"/>
        </w:rPr>
        <w:t xml:space="preserve">) </w:t>
      </w:r>
      <w:r>
        <w:rPr>
          <w:bCs/>
          <w:sz w:val="22"/>
          <w:szCs w:val="22"/>
        </w:rPr>
        <w:t xml:space="preserve">oluşmaktadır. </w:t>
      </w:r>
    </w:p>
    <w:p>
      <w:pPr>
        <w:tabs>
          <w:tab w:val="left" w:pos="567"/>
          <w:tab w:val="left" w:pos="720"/>
        </w:tabs>
        <w:spacing w:line="240" w:lineRule="atLeast"/>
        <w:ind w:left="567"/>
        <w:jc w:val="both"/>
        <w:rPr>
          <w:bCs/>
          <w:sz w:val="22"/>
          <w:szCs w:val="22"/>
        </w:rPr>
      </w:pPr>
    </w:p>
    <w:p>
      <w:pPr>
        <w:tabs>
          <w:tab w:val="left" w:pos="0"/>
          <w:tab w:val="left" w:pos="567"/>
        </w:tabs>
        <w:jc w:val="both"/>
        <w:rPr>
          <w:b/>
          <w:bCs/>
          <w:sz w:val="22"/>
          <w:szCs w:val="22"/>
        </w:rPr>
      </w:pPr>
      <w:r>
        <w:rPr>
          <w:b/>
          <w:bCs/>
          <w:sz w:val="22"/>
          <w:szCs w:val="22"/>
        </w:rPr>
        <w:t>10.</w:t>
      </w:r>
      <w:r>
        <w:rPr>
          <w:b/>
          <w:bCs/>
          <w:sz w:val="22"/>
          <w:szCs w:val="22"/>
        </w:rPr>
        <w:tab/>
      </w:r>
      <w:r>
        <w:rPr>
          <w:b/>
          <w:bCs/>
          <w:sz w:val="22"/>
          <w:szCs w:val="22"/>
        </w:rPr>
        <w:t>Sürdürülen ve durdurulan faaliyetler dönem net k</w:t>
      </w:r>
      <w:r>
        <w:rPr>
          <w:b/>
          <w:bCs/>
          <w:sz w:val="22"/>
          <w:szCs w:val="22"/>
        </w:rPr>
        <w:t>a</w:t>
      </w:r>
      <w:r>
        <w:rPr>
          <w:b/>
          <w:bCs/>
          <w:sz w:val="22"/>
          <w:szCs w:val="22"/>
        </w:rPr>
        <w:t>r / zararı:</w:t>
      </w:r>
    </w:p>
    <w:p>
      <w:pPr>
        <w:tabs>
          <w:tab w:val="left" w:pos="0"/>
          <w:tab w:val="left" w:pos="360"/>
          <w:tab w:val="left" w:pos="567"/>
        </w:tabs>
        <w:ind w:left="567"/>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pStyle w:val="1tipi"/>
        <w:tabs>
          <w:tab w:val="clear" w:pos="1134"/>
          <w:tab w:val="left" w:pos="567"/>
        </w:tabs>
        <w:ind w:left="567"/>
        <w:rPr>
          <w:rFonts w:ascii="Times New Roman" w:hAnsi="Times New Roman" w:cs="Times New Roman"/>
          <w:sz w:val="22"/>
          <w:szCs w:val="22"/>
          <w:lang w:val="tr-TR"/>
        </w:rPr>
      </w:pPr>
    </w:p>
    <w:p>
      <w:pPr>
        <w:tabs>
          <w:tab w:val="left" w:pos="567"/>
        </w:tabs>
        <w:rPr>
          <w:b/>
          <w:bCs/>
          <w:sz w:val="22"/>
          <w:szCs w:val="22"/>
        </w:rPr>
      </w:pPr>
      <w:r>
        <w:rPr>
          <w:b/>
          <w:bCs/>
          <w:sz w:val="22"/>
          <w:szCs w:val="22"/>
        </w:rPr>
        <w:t>11.</w:t>
      </w:r>
      <w:r>
        <w:rPr>
          <w:b/>
          <w:bCs/>
          <w:sz w:val="22"/>
          <w:szCs w:val="22"/>
        </w:rPr>
        <w:tab/>
      </w:r>
      <w:r>
        <w:rPr>
          <w:b/>
          <w:bCs/>
          <w:sz w:val="22"/>
          <w:szCs w:val="22"/>
        </w:rPr>
        <w:t>Net dönem k</w:t>
      </w:r>
      <w:r>
        <w:rPr>
          <w:b/>
          <w:bCs/>
          <w:sz w:val="22"/>
          <w:szCs w:val="22"/>
        </w:rPr>
        <w:t>a</w:t>
      </w:r>
      <w:r>
        <w:rPr>
          <w:b/>
          <w:bCs/>
          <w:sz w:val="22"/>
          <w:szCs w:val="22"/>
        </w:rPr>
        <w:t>r / zararına ilişkin açıklama:</w:t>
      </w:r>
    </w:p>
    <w:p>
      <w:pPr>
        <w:pStyle w:val="1tipi"/>
        <w:tabs>
          <w:tab w:val="clear" w:pos="1134"/>
          <w:tab w:val="left" w:pos="567"/>
        </w:tabs>
        <w:ind w:left="993" w:hanging="284"/>
        <w:rPr>
          <w:rFonts w:ascii="Times New Roman" w:hAnsi="Times New Roman" w:cs="Times New Roman"/>
          <w:b/>
          <w:bCs/>
          <w:lang w:val="tr-TR"/>
        </w:rPr>
      </w:pPr>
    </w:p>
    <w:p>
      <w:pPr>
        <w:tabs>
          <w:tab w:val="left" w:pos="567"/>
        </w:tabs>
        <w:ind w:left="567" w:hanging="567"/>
        <w:jc w:val="both"/>
        <w:rPr>
          <w:b/>
          <w:bCs/>
          <w:sz w:val="22"/>
          <w:szCs w:val="22"/>
        </w:rPr>
      </w:pPr>
      <w:r>
        <w:rPr>
          <w:b/>
          <w:bCs/>
          <w:sz w:val="22"/>
          <w:szCs w:val="22"/>
        </w:rPr>
        <w:t>11.a)</w:t>
      </w:r>
      <w:r>
        <w:rPr>
          <w:b/>
          <w:bCs/>
          <w:sz w:val="22"/>
          <w:szCs w:val="22"/>
        </w:rPr>
        <w:tab/>
      </w:r>
      <w:r>
        <w:rPr>
          <w:b/>
          <w:bCs/>
          <w:sz w:val="22"/>
          <w:szCs w:val="22"/>
        </w:rPr>
        <w:t>Olağan bankacılık işlemlerinden kaynaklanan gelir ve gider kalemlerinin niteliği</w:t>
      </w:r>
      <w:r>
        <w:rPr>
          <w:b/>
          <w:bCs/>
          <w:sz w:val="22"/>
          <w:szCs w:val="22"/>
        </w:rPr>
        <w:t>,</w:t>
      </w:r>
      <w:r>
        <w:rPr>
          <w:b/>
          <w:bCs/>
          <w:sz w:val="22"/>
          <w:szCs w:val="22"/>
        </w:rPr>
        <w:t xml:space="preserve"> boyutu ve tekrarlanma oranının açıklanması bankanın dönem içindeki performansının anlaşılması için gerekli ise</w:t>
      </w:r>
      <w:r>
        <w:rPr>
          <w:b/>
          <w:bCs/>
          <w:sz w:val="22"/>
          <w:szCs w:val="22"/>
        </w:rPr>
        <w:t>,</w:t>
      </w:r>
      <w:r>
        <w:rPr>
          <w:b/>
          <w:bCs/>
          <w:sz w:val="22"/>
          <w:szCs w:val="22"/>
        </w:rPr>
        <w:t xml:space="preserve"> bu kalemlerin niteliği ve tutarı:</w:t>
      </w:r>
    </w:p>
    <w:p>
      <w:pPr>
        <w:tabs>
          <w:tab w:val="left" w:pos="567"/>
        </w:tabs>
        <w:ind w:left="567"/>
        <w:jc w:val="both"/>
        <w:rPr>
          <w:b/>
          <w:bCs/>
          <w:sz w:val="16"/>
          <w:szCs w:val="16"/>
        </w:rPr>
      </w:pPr>
    </w:p>
    <w:p>
      <w:pPr>
        <w:tabs>
          <w:tab w:val="left" w:pos="567"/>
          <w:tab w:val="left" w:pos="720"/>
        </w:tabs>
        <w:spacing w:line="240" w:lineRule="atLeast"/>
        <w:ind w:left="567"/>
        <w:jc w:val="both"/>
        <w:rPr>
          <w:bCs/>
          <w:sz w:val="22"/>
          <w:szCs w:val="22"/>
        </w:rPr>
      </w:pPr>
      <w:r>
        <w:rPr>
          <w:bCs/>
          <w:sz w:val="22"/>
          <w:szCs w:val="22"/>
        </w:rPr>
        <w:t>Bulunmamaktadır.</w:t>
      </w:r>
    </w:p>
    <w:p>
      <w:pPr>
        <w:tabs>
          <w:tab w:val="left" w:pos="567"/>
          <w:tab w:val="left" w:pos="720"/>
        </w:tabs>
        <w:spacing w:line="240" w:lineRule="atLeast"/>
        <w:ind w:left="567"/>
        <w:jc w:val="both"/>
        <w:rPr>
          <w:bCs/>
          <w:sz w:val="22"/>
          <w:szCs w:val="22"/>
        </w:rPr>
      </w:pPr>
    </w:p>
    <w:p>
      <w:pPr>
        <w:tabs>
          <w:tab w:val="left" w:pos="567"/>
        </w:tabs>
        <w:ind w:left="567" w:hanging="567"/>
        <w:jc w:val="both"/>
        <w:rPr>
          <w:b/>
          <w:bCs/>
          <w:sz w:val="22"/>
          <w:szCs w:val="22"/>
        </w:rPr>
      </w:pPr>
      <w:r>
        <w:rPr>
          <w:b/>
          <w:bCs/>
          <w:sz w:val="22"/>
          <w:szCs w:val="22"/>
        </w:rPr>
        <w:t>11.b)</w:t>
      </w:r>
      <w:r>
        <w:rPr>
          <w:b/>
          <w:bCs/>
          <w:sz w:val="22"/>
          <w:szCs w:val="22"/>
        </w:rPr>
        <w:tab/>
      </w:r>
      <w:r>
        <w:rPr>
          <w:b/>
          <w:bCs/>
          <w:sz w:val="22"/>
          <w:szCs w:val="22"/>
        </w:rPr>
        <w:t>Finansal tablo kalemlerine ilişkin olarak yapılan bir tahmindeki değişikliğin k</w:t>
      </w:r>
      <w:r>
        <w:rPr>
          <w:b/>
          <w:bCs/>
          <w:sz w:val="22"/>
          <w:szCs w:val="22"/>
        </w:rPr>
        <w:t>a</w:t>
      </w:r>
      <w:r>
        <w:rPr>
          <w:b/>
          <w:bCs/>
          <w:sz w:val="22"/>
          <w:szCs w:val="22"/>
        </w:rPr>
        <w:t>r / zarara etkisi</w:t>
      </w:r>
      <w:r>
        <w:rPr>
          <w:b/>
          <w:bCs/>
          <w:sz w:val="22"/>
          <w:szCs w:val="22"/>
        </w:rPr>
        <w:t>,</w:t>
      </w:r>
      <w:r>
        <w:rPr>
          <w:b/>
          <w:bCs/>
          <w:sz w:val="22"/>
          <w:szCs w:val="22"/>
        </w:rPr>
        <w:t xml:space="preserve"> daha sonraki dönemleri de etkilemesi olasılığı varsa</w:t>
      </w:r>
      <w:r>
        <w:rPr>
          <w:b/>
          <w:bCs/>
          <w:sz w:val="22"/>
          <w:szCs w:val="22"/>
        </w:rPr>
        <w:t>,</w:t>
      </w:r>
      <w:r>
        <w:rPr>
          <w:b/>
          <w:bCs/>
          <w:sz w:val="22"/>
          <w:szCs w:val="22"/>
        </w:rPr>
        <w:t xml:space="preserve"> o dönemleri de kapsayacak şekilde belirtilir:</w:t>
      </w:r>
    </w:p>
    <w:p>
      <w:pPr>
        <w:tabs>
          <w:tab w:val="left" w:pos="567"/>
        </w:tabs>
        <w:ind w:left="567"/>
        <w:jc w:val="both"/>
        <w:rPr>
          <w:sz w:val="16"/>
          <w:szCs w:val="16"/>
        </w:rPr>
      </w:pPr>
    </w:p>
    <w:p>
      <w:pPr>
        <w:tabs>
          <w:tab w:val="left" w:pos="567"/>
          <w:tab w:val="left" w:pos="720"/>
        </w:tabs>
        <w:spacing w:line="240" w:lineRule="atLeast"/>
        <w:ind w:left="567"/>
        <w:jc w:val="both"/>
        <w:rPr>
          <w:bCs/>
          <w:sz w:val="22"/>
          <w:szCs w:val="22"/>
        </w:rPr>
      </w:pPr>
      <w:r>
        <w:rPr>
          <w:bCs/>
          <w:sz w:val="22"/>
          <w:szCs w:val="22"/>
        </w:rPr>
        <w:t>Muhasebe tahminlerinde değişiklik olmadığı için açıklama yapılmasını gerektirecek bir husus bulunmamaktadır.</w:t>
      </w:r>
    </w:p>
    <w:p>
      <w:pPr>
        <w:tabs>
          <w:tab w:val="left" w:pos="567"/>
        </w:tabs>
        <w:ind w:left="567"/>
        <w:jc w:val="both"/>
        <w:rPr>
          <w:b/>
          <w:bCs/>
          <w:sz w:val="22"/>
          <w:szCs w:val="22"/>
        </w:rPr>
      </w:pPr>
    </w:p>
    <w:p>
      <w:pPr>
        <w:tabs>
          <w:tab w:val="left" w:pos="567"/>
        </w:tabs>
        <w:ind w:left="567" w:hanging="567"/>
        <w:jc w:val="both"/>
        <w:rPr>
          <w:b/>
          <w:bCs/>
          <w:sz w:val="22"/>
          <w:szCs w:val="22"/>
        </w:rPr>
      </w:pPr>
      <w:r>
        <w:rPr>
          <w:b/>
          <w:bCs/>
          <w:sz w:val="22"/>
          <w:szCs w:val="22"/>
        </w:rPr>
        <w:t>12.</w:t>
      </w:r>
      <w:r>
        <w:rPr>
          <w:b/>
          <w:bCs/>
          <w:sz w:val="22"/>
          <w:szCs w:val="22"/>
        </w:rPr>
        <w:tab/>
      </w:r>
      <w:r>
        <w:rPr>
          <w:b/>
          <w:bCs/>
          <w:sz w:val="22"/>
          <w:szCs w:val="22"/>
        </w:rPr>
        <w:t>Gelir tablosunda yer alan diğer kalemlerin</w:t>
      </w:r>
      <w:r>
        <w:rPr>
          <w:b/>
          <w:bCs/>
          <w:sz w:val="22"/>
          <w:szCs w:val="22"/>
        </w:rPr>
        <w:t>,</w:t>
      </w:r>
      <w:r>
        <w:rPr>
          <w:b/>
          <w:bCs/>
          <w:sz w:val="22"/>
          <w:szCs w:val="22"/>
        </w:rPr>
        <w:t xml:space="preserve"> gelir tablosu toplamının %10’unu aşması halinde bu kalemlerin en az %20’sini oluşturan alt hesaplar:</w:t>
      </w:r>
    </w:p>
    <w:p>
      <w:pPr>
        <w:pStyle w:val="BodyText3"/>
        <w:tabs>
          <w:tab w:val="clear" w:pos="539"/>
          <w:tab w:val="clear" w:pos="5310"/>
          <w:tab w:val="clear" w:pos="7560"/>
          <w:tab w:val="left" w:pos="567"/>
        </w:tabs>
        <w:ind w:left="567"/>
        <w:jc w:val="both"/>
        <w:rPr>
          <w:i/>
          <w:iCs/>
        </w:rPr>
      </w:pPr>
    </w:p>
    <w:p>
      <w:pPr>
        <w:tabs>
          <w:tab w:val="left" w:pos="567"/>
          <w:tab w:val="left" w:pos="720"/>
        </w:tabs>
        <w:spacing w:line="240" w:lineRule="atLeast"/>
        <w:ind w:left="567"/>
        <w:jc w:val="both"/>
        <w:rPr>
          <w:bCs/>
          <w:sz w:val="22"/>
          <w:szCs w:val="22"/>
        </w:rPr>
      </w:pPr>
      <w:r>
        <w:rPr>
          <w:bCs/>
          <w:sz w:val="22"/>
          <w:szCs w:val="22"/>
        </w:rPr>
        <w:t>Gelir tablosunda yer alan diğer kalemlerden, gelir tablosu toplamının %10’unu aşan kalem bulunmamaktadır.</w:t>
      </w:r>
      <w:r>
        <w:rPr>
          <w:bCs/>
          <w:sz w:val="22"/>
          <w:szCs w:val="22"/>
        </w:rPr>
        <w:t xml:space="preserve"> </w:t>
      </w:r>
    </w:p>
    <w:p>
      <w:pPr>
        <w:tabs>
          <w:tab w:val="left" w:pos="567"/>
        </w:tabs>
        <w:jc w:val="both"/>
        <w:rPr>
          <w:iCs/>
          <w:sz w:val="22"/>
          <w:szCs w:val="22"/>
        </w:rPr>
      </w:pPr>
    </w:p>
    <w:p>
      <w:pPr>
        <w:tabs>
          <w:tab w:val="left" w:pos="567"/>
          <w:tab w:val="left" w:pos="709"/>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V.</w:t>
      </w:r>
      <w:r>
        <w:rPr>
          <w:b/>
          <w:bCs/>
          <w:sz w:val="22"/>
          <w:szCs w:val="22"/>
        </w:rPr>
        <w:tab/>
        <w:t>Bankanın dahil olduğu risk grubuna ilişkin açıklamalar:</w:t>
      </w:r>
    </w:p>
    <w:p>
      <w:pPr>
        <w:pStyle w:val="BodyText"/>
        <w:tabs>
          <w:tab w:val="clear" w:pos="0"/>
        </w:tabs>
        <w:ind w:left="567"/>
        <w:rPr>
          <w:b/>
          <w:bCs/>
          <w:sz w:val="22"/>
          <w:szCs w:val="22"/>
        </w:rPr>
      </w:pPr>
    </w:p>
    <w:p>
      <w:pPr>
        <w:pStyle w:val="BodyText"/>
        <w:tabs>
          <w:tab w:val="clear" w:pos="0"/>
          <w:tab w:val="clear" w:pos="720"/>
        </w:tabs>
        <w:ind w:left="567"/>
        <w:rPr>
          <w:sz w:val="22"/>
          <w:szCs w:val="22"/>
        </w:rPr>
      </w:pPr>
      <w:r>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pPr>
        <w:rPr>
          <w:b/>
          <w:bCs/>
          <w:sz w:val="22"/>
          <w:szCs w:val="22"/>
        </w:rPr>
      </w:pPr>
    </w:p>
    <w:p>
      <w:pPr>
        <w:numPr>
          <w:ilvl w:val="0"/>
          <w:numId w:val="22"/>
        </w:numPr>
        <w:ind w:left="567" w:hanging="567"/>
        <w:rPr>
          <w:b/>
          <w:bCs/>
          <w:sz w:val="22"/>
          <w:szCs w:val="22"/>
        </w:rPr>
      </w:pPr>
      <w:r>
        <w:rPr>
          <w:b/>
          <w:bCs/>
          <w:sz w:val="22"/>
          <w:szCs w:val="22"/>
        </w:rPr>
        <w:t>Cari Dönem:</w:t>
      </w:r>
    </w:p>
    <w:p>
      <w:pPr>
        <w:ind w:left="709"/>
        <w:rPr>
          <w:b/>
          <w:bCs/>
          <w:sz w:val="22"/>
          <w:szCs w:val="22"/>
        </w:rPr>
      </w:pPr>
    </w:p>
    <w:tbl>
      <w:tblPr>
        <w:tblW w:w="9241" w:type="dxa"/>
        <w:tblInd w:w="610" w:type="dxa"/>
        <w:tblCellMar>
          <w:left w:w="70" w:type="dxa"/>
          <w:right w:w="70" w:type="dxa"/>
        </w:tblCellMar>
        <w:tblLook w:val="0000"/>
      </w:tblPr>
      <w:tblGrid>
        <w:gridCol w:w="2185"/>
        <w:gridCol w:w="1244"/>
        <w:gridCol w:w="1134"/>
        <w:gridCol w:w="1134"/>
        <w:gridCol w:w="1276"/>
        <w:gridCol w:w="1134"/>
        <w:gridCol w:w="1134"/>
      </w:tblGrid>
      <w:tr>
        <w:trPr>
          <w:trHeight w:val="255"/>
        </w:trPr>
        <w:tc>
          <w:tcPr>
            <w:tcW w:w="2185" w:type="dxa"/>
            <w:tcBorders>
              <w:top w:val="single" w:sz="4" w:space="0" w:color="auto"/>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İştirak, Bağlı Ortaklık ve Birlikte Kontrol Edilen Ortaklıklar (İş Ortaklıkları)</w:t>
            </w:r>
          </w:p>
        </w:tc>
        <w:tc>
          <w:tcPr>
            <w:tcW w:w="2410"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Risk Grubuna Dahil Olan Diğer Gerçek ve Tüzel Kişiler</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w:t>
            </w:r>
          </w:p>
        </w:tc>
        <w:tc>
          <w:tcPr>
            <w:tcW w:w="124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276"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Krediler ve Diğer Alacaklar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Dönem Sonu Bakiyesi</w:t>
            </w:r>
            <w:r>
              <w:rPr>
                <w:sz w:val="18"/>
                <w:szCs w:val="18"/>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w:t>
            </w:r>
            <w:r>
              <w:rPr>
                <w:sz w:val="16"/>
                <w:szCs w:val="16"/>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bl>
    <w:p>
      <w:pPr>
        <w:ind w:left="709"/>
        <w:rPr>
          <w:b/>
          <w:bCs/>
          <w:sz w:val="12"/>
          <w:szCs w:val="12"/>
        </w:rPr>
      </w:pPr>
    </w:p>
    <w:p>
      <w:pPr>
        <w:tabs>
          <w:tab w:val="left" w:pos="993"/>
        </w:tabs>
        <w:ind w:left="567"/>
        <w:jc w:val="both"/>
        <w:rPr>
          <w:b/>
          <w:bCs/>
          <w:sz w:val="18"/>
          <w:szCs w:val="18"/>
        </w:rPr>
      </w:pPr>
      <w:r>
        <w:rPr>
          <w:sz w:val="18"/>
          <w:szCs w:val="18"/>
        </w:rPr>
        <w:t>(*)</w:t>
      </w:r>
      <w:r>
        <w:rPr>
          <w:sz w:val="18"/>
          <w:szCs w:val="18"/>
        </w:rPr>
        <w:tab/>
      </w:r>
      <w:r>
        <w:rPr>
          <w:sz w:val="18"/>
          <w:szCs w:val="18"/>
        </w:rPr>
        <w:t>Banka bağlı ortağı olan Ar</w:t>
      </w:r>
      <w:r>
        <w:rPr>
          <w:sz w:val="18"/>
          <w:szCs w:val="18"/>
        </w:rPr>
        <w:t>ıcak A.Ş.’ye kullandırılan 1.132</w:t>
      </w:r>
      <w:r>
        <w:rPr>
          <w:sz w:val="18"/>
          <w:szCs w:val="18"/>
        </w:rPr>
        <w:t xml:space="preserve"> Bin TL tutarındaki krediyi V. Grup kredilerde izlemektedir. </w:t>
      </w:r>
      <w:r>
        <w:rPr>
          <w:sz w:val="18"/>
          <w:szCs w:val="18"/>
        </w:rPr>
        <w:tab/>
      </w:r>
      <w:r>
        <w:rPr>
          <w:sz w:val="18"/>
          <w:szCs w:val="18"/>
        </w:rPr>
        <w:t>Söz konusu kredi için 1.026 Bin TL özel karşılık ayrılmıştır</w:t>
      </w:r>
    </w:p>
    <w:p>
      <w:pPr>
        <w:ind w:left="567"/>
        <w:rPr>
          <w:b/>
          <w:bCs/>
          <w:sz w:val="12"/>
          <w:szCs w:val="12"/>
        </w:rPr>
      </w:pPr>
    </w:p>
    <w:p>
      <w:pPr>
        <w:pStyle w:val="BodyText"/>
        <w:tabs>
          <w:tab w:val="clear" w:pos="0"/>
          <w:tab w:val="clear" w:pos="720"/>
        </w:tabs>
        <w:ind w:left="567"/>
        <w:rPr>
          <w:bCs/>
          <w:sz w:val="16"/>
          <w:szCs w:val="16"/>
        </w:rPr>
      </w:pPr>
    </w:p>
    <w:p>
      <w:pPr>
        <w:numPr>
          <w:ilvl w:val="0"/>
          <w:numId w:val="22"/>
        </w:numPr>
        <w:ind w:left="567" w:hanging="567"/>
        <w:rPr>
          <w:b/>
          <w:bCs/>
          <w:sz w:val="22"/>
          <w:szCs w:val="22"/>
        </w:rPr>
      </w:pPr>
      <w:r>
        <w:rPr>
          <w:b/>
          <w:bCs/>
          <w:sz w:val="22"/>
          <w:szCs w:val="22"/>
        </w:rPr>
        <w:t>Önceki Dönem:</w:t>
      </w:r>
    </w:p>
    <w:p>
      <w:pPr>
        <w:ind w:left="709"/>
        <w:rPr>
          <w:b/>
          <w:bCs/>
          <w:sz w:val="22"/>
          <w:szCs w:val="22"/>
        </w:rPr>
      </w:pPr>
    </w:p>
    <w:tbl>
      <w:tblPr>
        <w:tblW w:w="9241" w:type="dxa"/>
        <w:tblInd w:w="610" w:type="dxa"/>
        <w:tblCellMar>
          <w:left w:w="70" w:type="dxa"/>
          <w:right w:w="70" w:type="dxa"/>
        </w:tblCellMar>
        <w:tblLook w:val="0000"/>
      </w:tblPr>
      <w:tblGrid>
        <w:gridCol w:w="2185"/>
        <w:gridCol w:w="1244"/>
        <w:gridCol w:w="1134"/>
        <w:gridCol w:w="1134"/>
        <w:gridCol w:w="1276"/>
        <w:gridCol w:w="1134"/>
        <w:gridCol w:w="1134"/>
      </w:tblGrid>
      <w:tr>
        <w:trPr>
          <w:trHeight w:val="255"/>
        </w:trPr>
        <w:tc>
          <w:tcPr>
            <w:tcW w:w="2185" w:type="dxa"/>
            <w:tcBorders>
              <w:top w:val="single" w:sz="4" w:space="0" w:color="auto"/>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İştirak</w:t>
            </w:r>
            <w:r>
              <w:rPr>
                <w:b/>
                <w:bCs/>
                <w:sz w:val="18"/>
                <w:szCs w:val="18"/>
              </w:rPr>
              <w:t>,</w:t>
            </w:r>
            <w:r>
              <w:rPr>
                <w:b/>
                <w:bCs/>
                <w:sz w:val="18"/>
                <w:szCs w:val="18"/>
              </w:rPr>
              <w:t xml:space="preserve"> Bağlı Ortaklık ve Birlikte Kontrol Edilen Ortaklıklar (</w:t>
            </w:r>
            <w:r>
              <w:rPr>
                <w:b/>
                <w:bCs/>
                <w:sz w:val="18"/>
                <w:szCs w:val="18"/>
              </w:rPr>
              <w:t>İ</w:t>
            </w:r>
            <w:r>
              <w:rPr>
                <w:b/>
                <w:bCs/>
                <w:sz w:val="18"/>
                <w:szCs w:val="18"/>
              </w:rPr>
              <w:t xml:space="preserve">ş </w:t>
            </w:r>
            <w:r>
              <w:rPr>
                <w:b/>
                <w:bCs/>
                <w:sz w:val="18"/>
                <w:szCs w:val="18"/>
              </w:rPr>
              <w:t>O</w:t>
            </w:r>
            <w:r>
              <w:rPr>
                <w:b/>
                <w:bCs/>
                <w:sz w:val="18"/>
                <w:szCs w:val="18"/>
              </w:rPr>
              <w:t>rtaklıkları)</w:t>
            </w:r>
          </w:p>
        </w:tc>
        <w:tc>
          <w:tcPr>
            <w:tcW w:w="2410"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Risk Grubuna Dahil Olan Diğer Gerçek ve Tüzel Kişiler</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w:t>
            </w:r>
          </w:p>
        </w:tc>
        <w:tc>
          <w:tcPr>
            <w:tcW w:w="124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276"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G.Nakdi</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Krediler ve Diğer Alacaklar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783</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Dönem Sonu Bakiyesi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bl>
    <w:p>
      <w:pPr>
        <w:rPr>
          <w:b/>
          <w:bCs/>
          <w:sz w:val="22"/>
          <w:szCs w:val="22"/>
        </w:rPr>
      </w:pPr>
    </w:p>
    <w:p>
      <w:pPr>
        <w:numPr>
          <w:ilvl w:val="0"/>
          <w:numId w:val="22"/>
        </w:numPr>
        <w:tabs>
          <w:tab w:val="left" w:pos="567"/>
        </w:tabs>
        <w:ind w:left="567" w:hanging="567"/>
        <w:jc w:val="both"/>
        <w:rPr>
          <w:b/>
          <w:bCs/>
          <w:sz w:val="22"/>
          <w:szCs w:val="22"/>
        </w:rPr>
      </w:pPr>
      <w:r>
        <w:rPr>
          <w:b/>
          <w:bCs/>
          <w:sz w:val="22"/>
          <w:szCs w:val="22"/>
        </w:rPr>
        <w:t>Bankanın dahil olduğu risk grubu ile yaptığı vadeli işlemler ile opsiyon sözleşmeleri ile benzeri</w:t>
      </w:r>
      <w:r>
        <w:rPr>
          <w:b/>
          <w:bCs/>
          <w:sz w:val="22"/>
          <w:szCs w:val="22"/>
        </w:rPr>
        <w:t xml:space="preserve"> </w:t>
      </w:r>
      <w:r>
        <w:rPr>
          <w:b/>
          <w:bCs/>
          <w:sz w:val="22"/>
          <w:szCs w:val="22"/>
        </w:rPr>
        <w:t>sözleşmeler:</w:t>
      </w:r>
    </w:p>
    <w:p>
      <w:pPr>
        <w:ind w:left="709"/>
        <w:rPr>
          <w:b/>
          <w:bCs/>
          <w:sz w:val="22"/>
          <w:szCs w:val="22"/>
        </w:rPr>
      </w:pPr>
    </w:p>
    <w:p>
      <w:pPr>
        <w:ind w:firstLine="567"/>
        <w:rPr>
          <w:sz w:val="22"/>
          <w:szCs w:val="22"/>
        </w:rPr>
      </w:pPr>
      <w:r>
        <w:rPr>
          <w:sz w:val="22"/>
          <w:szCs w:val="22"/>
        </w:rPr>
        <w:t>Bulunmamaktadır.</w:t>
      </w:r>
    </w:p>
    <w:p>
      <w:pPr>
        <w:ind w:left="567"/>
        <w:rPr>
          <w:sz w:val="22"/>
          <w:szCs w:val="22"/>
        </w:rPr>
      </w:pPr>
    </w:p>
    <w:p>
      <w:pPr>
        <w:tabs>
          <w:tab w:val="left" w:pos="567"/>
        </w:tabs>
        <w:jc w:val="both"/>
        <w:rPr>
          <w:rFonts w:eastAsia="Arial Unicode MS"/>
          <w:b/>
          <w:bCs/>
          <w:sz w:val="22"/>
          <w:szCs w:val="22"/>
        </w:rPr>
      </w:pPr>
      <w:r>
        <w:rPr>
          <w:rFonts w:eastAsia="Arial Unicode MS"/>
          <w:b/>
          <w:bCs/>
          <w:sz w:val="22"/>
          <w:szCs w:val="22"/>
        </w:rPr>
        <w:t>d</w:t>
      </w:r>
      <w:r>
        <w:rPr>
          <w:rFonts w:eastAsia="Arial Unicode MS"/>
          <w:b/>
          <w:bCs/>
          <w:sz w:val="22"/>
          <w:szCs w:val="22"/>
        </w:rPr>
        <w:t>)</w:t>
      </w:r>
      <w:r>
        <w:rPr>
          <w:rFonts w:eastAsia="Arial Unicode MS"/>
          <w:b/>
          <w:bCs/>
          <w:sz w:val="22"/>
          <w:szCs w:val="22"/>
        </w:rPr>
        <w:tab/>
        <w:t>Banka Üst Yönetimine Ödenen Ücretlere İlişkin Bilgiler:</w:t>
      </w:r>
    </w:p>
    <w:p>
      <w:pPr>
        <w:ind w:left="709"/>
        <w:jc w:val="both"/>
        <w:rPr>
          <w:rFonts w:eastAsia="Arial Unicode MS"/>
          <w:b/>
          <w:bCs/>
          <w:sz w:val="22"/>
          <w:szCs w:val="22"/>
        </w:rPr>
      </w:pPr>
    </w:p>
    <w:p>
      <w:pPr>
        <w:ind w:left="540"/>
        <w:jc w:val="both"/>
        <w:rPr>
          <w:rFonts w:eastAsia="Arial Unicode MS"/>
          <w:sz w:val="22"/>
          <w:szCs w:val="22"/>
        </w:rPr>
      </w:pPr>
      <w:r>
        <w:rPr>
          <w:rFonts w:eastAsia="Arial Unicode MS"/>
          <w:sz w:val="22"/>
          <w:szCs w:val="22"/>
        </w:rPr>
        <w:t>Yönetim Kurulu üyelerine</w:t>
      </w:r>
      <w:r>
        <w:rPr>
          <w:rFonts w:eastAsia="Arial Unicode MS"/>
          <w:sz w:val="22"/>
          <w:szCs w:val="22"/>
        </w:rPr>
        <w:t>,</w:t>
      </w:r>
      <w:r>
        <w:rPr>
          <w:rFonts w:eastAsia="Arial Unicode MS"/>
          <w:sz w:val="22"/>
          <w:szCs w:val="22"/>
        </w:rPr>
        <w:t xml:space="preserve"> </w:t>
      </w:r>
      <w:r>
        <w:rPr>
          <w:rFonts w:eastAsia="Arial Unicode MS"/>
          <w:sz w:val="22"/>
          <w:szCs w:val="22"/>
        </w:rPr>
        <w:t>D</w:t>
      </w:r>
      <w:r>
        <w:rPr>
          <w:rFonts w:eastAsia="Arial Unicode MS"/>
          <w:sz w:val="22"/>
          <w:szCs w:val="22"/>
        </w:rPr>
        <w:t xml:space="preserve">enetim </w:t>
      </w:r>
      <w:r>
        <w:rPr>
          <w:rFonts w:eastAsia="Arial Unicode MS"/>
          <w:sz w:val="22"/>
          <w:szCs w:val="22"/>
        </w:rPr>
        <w:t>K</w:t>
      </w:r>
      <w:r>
        <w:rPr>
          <w:rFonts w:eastAsia="Arial Unicode MS"/>
          <w:sz w:val="22"/>
          <w:szCs w:val="22"/>
        </w:rPr>
        <w:t>urulu üyelerine</w:t>
      </w:r>
      <w:r>
        <w:rPr>
          <w:rFonts w:eastAsia="Arial Unicode MS"/>
          <w:sz w:val="22"/>
          <w:szCs w:val="22"/>
        </w:rPr>
        <w:t>,</w:t>
      </w:r>
      <w:r>
        <w:rPr>
          <w:rFonts w:eastAsia="Arial Unicode MS"/>
          <w:sz w:val="22"/>
          <w:szCs w:val="22"/>
        </w:rPr>
        <w:t xml:space="preserve"> Genel Müdür ve Genel Müdür </w:t>
      </w:r>
      <w:r>
        <w:rPr>
          <w:rFonts w:eastAsia="Arial Unicode MS"/>
          <w:sz w:val="22"/>
          <w:szCs w:val="22"/>
        </w:rPr>
        <w:t>Yardımcıları</w:t>
      </w:r>
      <w:r>
        <w:rPr>
          <w:rFonts w:eastAsia="Arial Unicode MS"/>
          <w:sz w:val="22"/>
          <w:szCs w:val="22"/>
        </w:rPr>
        <w:t>’</w:t>
      </w:r>
      <w:r>
        <w:rPr>
          <w:rFonts w:eastAsia="Arial Unicode MS"/>
          <w:sz w:val="22"/>
          <w:szCs w:val="22"/>
        </w:rPr>
        <w:t xml:space="preserve">na </w:t>
      </w:r>
      <w:r>
        <w:rPr>
          <w:rFonts w:eastAsia="Arial Unicode MS"/>
          <w:sz w:val="22"/>
          <w:szCs w:val="22"/>
        </w:rPr>
        <w:t>ödenen ücret ve temettü tutarlarına aşağıda yer verilmiştir.</w:t>
      </w:r>
    </w:p>
    <w:p>
      <w:pPr>
        <w:ind w:left="567"/>
        <w:rPr>
          <w:sz w:val="22"/>
          <w:szCs w:val="22"/>
        </w:rPr>
      </w:pPr>
    </w:p>
    <w:tbl>
      <w:tblPr>
        <w:tblW w:w="924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2"/>
        <w:gridCol w:w="2835"/>
        <w:gridCol w:w="2835"/>
      </w:tblGrid>
      <w:tr>
        <w:tc>
          <w:tcPr>
            <w:tcW w:w="3572" w:type="dxa"/>
          </w:tcPr>
          <w:p>
            <w:pPr>
              <w:rPr>
                <w:b/>
                <w:sz w:val="22"/>
                <w:szCs w:val="22"/>
              </w:rPr>
            </w:pPr>
          </w:p>
        </w:tc>
        <w:tc>
          <w:tcPr>
            <w:tcW w:w="2835" w:type="dxa"/>
            <w:vAlign w:val="bottom"/>
          </w:tcPr>
          <w:p>
            <w:pPr>
              <w:jc w:val="center"/>
              <w:rPr>
                <w:b/>
                <w:sz w:val="18"/>
                <w:szCs w:val="18"/>
              </w:rPr>
            </w:pPr>
            <w:r>
              <w:rPr>
                <w:b/>
                <w:sz w:val="18"/>
                <w:szCs w:val="18"/>
              </w:rPr>
              <w:t>Cari Dönem</w:t>
            </w:r>
          </w:p>
          <w:p>
            <w:pPr>
              <w:jc w:val="center"/>
              <w:rPr>
                <w:b/>
                <w:sz w:val="18"/>
                <w:szCs w:val="18"/>
              </w:rPr>
            </w:pPr>
            <w:r>
              <w:rPr>
                <w:b/>
                <w:sz w:val="18"/>
                <w:szCs w:val="18"/>
              </w:rPr>
              <w:t>(3</w:t>
            </w:r>
            <w:r>
              <w:rPr>
                <w:b/>
                <w:sz w:val="18"/>
                <w:szCs w:val="18"/>
              </w:rPr>
              <w:t>0</w:t>
            </w:r>
            <w:r>
              <w:rPr>
                <w:b/>
                <w:sz w:val="18"/>
                <w:szCs w:val="18"/>
              </w:rPr>
              <w:t>.</w:t>
            </w:r>
            <w:r>
              <w:rPr>
                <w:b/>
                <w:sz w:val="18"/>
                <w:szCs w:val="18"/>
              </w:rPr>
              <w:t>0</w:t>
            </w:r>
            <w:r>
              <w:rPr>
                <w:b/>
                <w:sz w:val="18"/>
                <w:szCs w:val="18"/>
              </w:rPr>
              <w:t>6</w:t>
            </w:r>
            <w:r>
              <w:rPr>
                <w:b/>
                <w:sz w:val="18"/>
                <w:szCs w:val="18"/>
              </w:rPr>
              <w:t>.201</w:t>
            </w:r>
            <w:r>
              <w:rPr>
                <w:b/>
                <w:sz w:val="18"/>
                <w:szCs w:val="18"/>
              </w:rPr>
              <w:t>1</w:t>
            </w:r>
            <w:r>
              <w:rPr>
                <w:b/>
                <w:sz w:val="18"/>
                <w:szCs w:val="18"/>
              </w:rPr>
              <w:t>)</w:t>
            </w:r>
          </w:p>
        </w:tc>
        <w:tc>
          <w:tcPr>
            <w:tcW w:w="2835" w:type="dxa"/>
            <w:vAlign w:val="bottom"/>
          </w:tcPr>
          <w:p>
            <w:pPr>
              <w:jc w:val="center"/>
              <w:rPr>
                <w:b/>
                <w:sz w:val="18"/>
                <w:szCs w:val="18"/>
              </w:rPr>
            </w:pPr>
            <w:r>
              <w:rPr>
                <w:b/>
                <w:sz w:val="18"/>
                <w:szCs w:val="18"/>
              </w:rPr>
              <w:t>Önceki Dönem</w:t>
            </w:r>
          </w:p>
          <w:p>
            <w:pPr>
              <w:jc w:val="center"/>
              <w:rPr>
                <w:b/>
                <w:sz w:val="18"/>
                <w:szCs w:val="18"/>
              </w:rPr>
            </w:pPr>
            <w:r>
              <w:rPr>
                <w:b/>
                <w:sz w:val="18"/>
                <w:szCs w:val="18"/>
              </w:rPr>
              <w:t>(3</w:t>
            </w:r>
            <w:r>
              <w:rPr>
                <w:b/>
                <w:sz w:val="18"/>
                <w:szCs w:val="18"/>
              </w:rPr>
              <w:t>0</w:t>
            </w:r>
            <w:r>
              <w:rPr>
                <w:b/>
                <w:sz w:val="18"/>
                <w:szCs w:val="18"/>
              </w:rPr>
              <w:t>.</w:t>
            </w:r>
            <w:r>
              <w:rPr>
                <w:b/>
                <w:sz w:val="18"/>
                <w:szCs w:val="18"/>
              </w:rPr>
              <w:t>0</w:t>
            </w:r>
            <w:r>
              <w:rPr>
                <w:b/>
                <w:sz w:val="18"/>
                <w:szCs w:val="18"/>
              </w:rPr>
              <w:t>6</w:t>
            </w:r>
            <w:r>
              <w:rPr>
                <w:b/>
                <w:sz w:val="18"/>
                <w:szCs w:val="18"/>
              </w:rPr>
              <w:t>.20</w:t>
            </w:r>
            <w:r>
              <w:rPr>
                <w:b/>
                <w:sz w:val="18"/>
                <w:szCs w:val="18"/>
              </w:rPr>
              <w:t>10</w:t>
            </w:r>
            <w:r>
              <w:rPr>
                <w:b/>
                <w:sz w:val="18"/>
                <w:szCs w:val="18"/>
              </w:rPr>
              <w:t>)</w:t>
            </w:r>
          </w:p>
        </w:tc>
      </w:tr>
      <w:tr>
        <w:tc>
          <w:tcPr>
            <w:tcW w:w="3572" w:type="dxa"/>
            <w:vAlign w:val="bottom"/>
          </w:tcPr>
          <w:p>
            <w:pPr>
              <w:rPr>
                <w:sz w:val="18"/>
                <w:szCs w:val="18"/>
              </w:rPr>
            </w:pPr>
            <w:r>
              <w:rPr>
                <w:sz w:val="18"/>
                <w:szCs w:val="18"/>
              </w:rPr>
              <w:t>Maaş</w:t>
            </w:r>
          </w:p>
        </w:tc>
        <w:tc>
          <w:tcPr>
            <w:tcW w:w="2835" w:type="dxa"/>
          </w:tcPr>
          <w:p>
            <w:pPr>
              <w:autoSpaceDE w:val="0"/>
              <w:autoSpaceDN w:val="0"/>
              <w:adjustRightInd w:val="0"/>
              <w:jc w:val="right"/>
              <w:rPr>
                <w:sz w:val="18"/>
                <w:szCs w:val="18"/>
              </w:rPr>
            </w:pPr>
            <w:r>
              <w:rPr>
                <w:sz w:val="18"/>
                <w:szCs w:val="18"/>
              </w:rPr>
              <w:t>410</w:t>
            </w:r>
          </w:p>
        </w:tc>
        <w:tc>
          <w:tcPr>
            <w:tcW w:w="2835" w:type="dxa"/>
          </w:tcPr>
          <w:p>
            <w:pPr>
              <w:autoSpaceDE w:val="0"/>
              <w:autoSpaceDN w:val="0"/>
              <w:adjustRightInd w:val="0"/>
              <w:jc w:val="right"/>
              <w:rPr>
                <w:sz w:val="18"/>
                <w:szCs w:val="18"/>
              </w:rPr>
            </w:pPr>
            <w:r>
              <w:rPr>
                <w:sz w:val="18"/>
                <w:szCs w:val="18"/>
              </w:rPr>
              <w:t>396</w:t>
            </w:r>
          </w:p>
        </w:tc>
      </w:tr>
      <w:tr>
        <w:tc>
          <w:tcPr>
            <w:tcW w:w="3572" w:type="dxa"/>
            <w:vAlign w:val="bottom"/>
          </w:tcPr>
          <w:p>
            <w:pPr>
              <w:rPr>
                <w:sz w:val="18"/>
                <w:szCs w:val="18"/>
              </w:rPr>
            </w:pPr>
            <w:r>
              <w:rPr>
                <w:sz w:val="18"/>
                <w:szCs w:val="18"/>
              </w:rPr>
              <w:t>Temettü ve Ek Ödemeler</w:t>
            </w:r>
          </w:p>
        </w:tc>
        <w:tc>
          <w:tcPr>
            <w:tcW w:w="2835" w:type="dxa"/>
          </w:tcPr>
          <w:p>
            <w:pPr>
              <w:autoSpaceDE w:val="0"/>
              <w:autoSpaceDN w:val="0"/>
              <w:adjustRightInd w:val="0"/>
              <w:jc w:val="right"/>
              <w:rPr>
                <w:sz w:val="18"/>
                <w:szCs w:val="18"/>
              </w:rPr>
            </w:pPr>
            <w:r>
              <w:rPr>
                <w:sz w:val="18"/>
                <w:szCs w:val="18"/>
              </w:rPr>
              <w:t>52</w:t>
            </w:r>
          </w:p>
        </w:tc>
        <w:tc>
          <w:tcPr>
            <w:tcW w:w="2835" w:type="dxa"/>
          </w:tcPr>
          <w:p>
            <w:pPr>
              <w:autoSpaceDE w:val="0"/>
              <w:autoSpaceDN w:val="0"/>
              <w:adjustRightInd w:val="0"/>
              <w:jc w:val="right"/>
              <w:rPr>
                <w:sz w:val="18"/>
                <w:szCs w:val="18"/>
              </w:rPr>
            </w:pPr>
            <w:r>
              <w:rPr>
                <w:sz w:val="18"/>
                <w:szCs w:val="18"/>
              </w:rPr>
              <w:t>66</w:t>
            </w:r>
          </w:p>
        </w:tc>
      </w:tr>
      <w:tr>
        <w:tc>
          <w:tcPr>
            <w:tcW w:w="3572" w:type="dxa"/>
            <w:vAlign w:val="bottom"/>
          </w:tcPr>
          <w:p>
            <w:pPr>
              <w:rPr>
                <w:sz w:val="18"/>
                <w:szCs w:val="18"/>
              </w:rPr>
            </w:pPr>
            <w:r>
              <w:rPr>
                <w:sz w:val="18"/>
                <w:szCs w:val="18"/>
              </w:rPr>
              <w:t xml:space="preserve">Toplam </w:t>
            </w:r>
          </w:p>
        </w:tc>
        <w:tc>
          <w:tcPr>
            <w:tcW w:w="2835" w:type="dxa"/>
          </w:tcPr>
          <w:p>
            <w:pPr>
              <w:autoSpaceDE w:val="0"/>
              <w:autoSpaceDN w:val="0"/>
              <w:adjustRightInd w:val="0"/>
              <w:jc w:val="right"/>
              <w:rPr>
                <w:sz w:val="18"/>
                <w:szCs w:val="18"/>
              </w:rPr>
            </w:pPr>
            <w:r>
              <w:rPr>
                <w:sz w:val="18"/>
                <w:szCs w:val="18"/>
              </w:rPr>
              <w:t>462</w:t>
            </w:r>
          </w:p>
        </w:tc>
        <w:tc>
          <w:tcPr>
            <w:tcW w:w="2835" w:type="dxa"/>
          </w:tcPr>
          <w:p>
            <w:pPr>
              <w:autoSpaceDE w:val="0"/>
              <w:autoSpaceDN w:val="0"/>
              <w:adjustRightInd w:val="0"/>
              <w:jc w:val="right"/>
              <w:rPr>
                <w:sz w:val="18"/>
                <w:szCs w:val="18"/>
              </w:rPr>
            </w:pPr>
            <w:r>
              <w:rPr>
                <w:sz w:val="18"/>
                <w:szCs w:val="18"/>
              </w:rPr>
              <w:t>462</w:t>
            </w:r>
          </w:p>
        </w:tc>
      </w:tr>
    </w:tbl>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r>
        <w:rPr>
          <w:b/>
          <w:bCs/>
          <w:sz w:val="22"/>
          <w:szCs w:val="22"/>
        </w:rPr>
        <w:t>VI</w:t>
      </w:r>
      <w:r>
        <w:rPr>
          <w:b/>
          <w:bCs/>
          <w:sz w:val="22"/>
          <w:szCs w:val="22"/>
        </w:rPr>
        <w:t>.</w:t>
      </w:r>
      <w:r>
        <w:rPr>
          <w:b/>
          <w:bCs/>
          <w:sz w:val="22"/>
          <w:szCs w:val="22"/>
        </w:rPr>
        <w:tab/>
        <w:t>Bilanço sonrası hususlara ilişkin</w:t>
      </w:r>
      <w:r>
        <w:rPr>
          <w:b/>
          <w:bCs/>
          <w:sz w:val="22"/>
          <w:szCs w:val="22"/>
        </w:rPr>
        <w:t xml:space="preserve"> açıklama ve dipnotlar</w:t>
      </w:r>
      <w:r>
        <w:rPr>
          <w:b/>
          <w:bCs/>
          <w:sz w:val="22"/>
          <w:szCs w:val="22"/>
        </w:rPr>
        <w:t>:</w:t>
      </w:r>
    </w:p>
    <w:p>
      <w:pPr>
        <w:tabs>
          <w:tab w:val="left" w:pos="567"/>
        </w:tabs>
        <w:ind w:left="567" w:hanging="567"/>
        <w:rPr>
          <w:b/>
          <w:bCs/>
          <w:sz w:val="22"/>
          <w:szCs w:val="22"/>
        </w:rPr>
      </w:pPr>
    </w:p>
    <w:p>
      <w:pPr>
        <w:pStyle w:val="BodyText"/>
        <w:tabs>
          <w:tab w:val="clear" w:pos="567"/>
          <w:tab w:val="clear" w:pos="720"/>
        </w:tabs>
        <w:ind w:left="567"/>
        <w:rPr>
          <w:b/>
          <w:bCs/>
          <w:sz w:val="22"/>
          <w:szCs w:val="22"/>
        </w:rPr>
      </w:pPr>
      <w:r>
        <w:rPr>
          <w:sz w:val="22"/>
          <w:szCs w:val="22"/>
        </w:rPr>
        <w:t>Banka’nın 2010 yılı Olağan Genel Kurul Toplantısı 28 Nisan 2011 tarihinde gerçekleştirilmiştir. 12 Nisan 2011 tarihinde alınmış olan Yönetim Kurulu kararına göre, 31 Aralık 2010 tarihli finansal tablolarda, 2010 yılı 21.121 Bin TL tutarındaki net dönem karı üzerinden 1.056 Bin TL tutarında birinci tertip yasal yedek akçe ayrılarak, bu tutar düşüldükten sonra kalan 20.065 Bin TL tutarındaki net dağıtılabilir dönem karının 4.224 Bin TL’s</w:t>
      </w:r>
      <w:r>
        <w:rPr>
          <w:sz w:val="22"/>
          <w:szCs w:val="22"/>
        </w:rPr>
        <w:t>i ortaklara birinci temettü, 604</w:t>
      </w:r>
      <w:r>
        <w:rPr>
          <w:sz w:val="22"/>
          <w:szCs w:val="22"/>
        </w:rPr>
        <w:t xml:space="preserve"> Bin TL’si personele temettü olarak dağıtılmış, 6</w:t>
      </w:r>
      <w:r>
        <w:rPr>
          <w:sz w:val="22"/>
          <w:szCs w:val="22"/>
        </w:rPr>
        <w:t>0</w:t>
      </w:r>
      <w:r>
        <w:rPr>
          <w:sz w:val="22"/>
          <w:szCs w:val="22"/>
        </w:rPr>
        <w:t xml:space="preserve"> Bin TL’si ikinci tertip yasal yedek akçe, 15.177 Bin TL’si ise olağanüstü yedek akçe olarak ayrılmıştır.</w:t>
      </w:r>
      <w:r>
        <w:rPr>
          <w:b/>
          <w:bCs/>
          <w:sz w:val="22"/>
          <w:szCs w:val="22"/>
        </w:rPr>
        <w:t xml:space="preserve"> </w:t>
      </w:r>
    </w:p>
    <w:p>
      <w:pPr>
        <w:rPr>
          <w:b/>
          <w:bCs/>
          <w:sz w:val="22"/>
          <w:szCs w:val="22"/>
        </w:rPr>
      </w:pPr>
    </w:p>
    <w:p>
      <w:pPr>
        <w:rPr>
          <w:b/>
          <w:bCs/>
          <w:sz w:val="22"/>
          <w:szCs w:val="22"/>
        </w:rPr>
      </w:pPr>
    </w:p>
    <w:p>
      <w:pPr>
        <w:jc w:val="center"/>
        <w:rPr>
          <w:b/>
          <w:bCs/>
          <w:sz w:val="22"/>
          <w:szCs w:val="22"/>
        </w:rPr>
      </w:pPr>
    </w:p>
    <w:p>
      <w:pPr>
        <w:jc w:val="center"/>
        <w:rPr>
          <w:b/>
          <w:bCs/>
          <w:sz w:val="22"/>
          <w:szCs w:val="22"/>
        </w:rPr>
      </w:pPr>
      <w:r>
        <w:rPr>
          <w:b/>
          <w:bCs/>
          <w:sz w:val="22"/>
          <w:szCs w:val="22"/>
        </w:rPr>
        <w:t>ALTINCI</w:t>
      </w:r>
      <w:r>
        <w:rPr>
          <w:b/>
          <w:bCs/>
          <w:sz w:val="22"/>
          <w:szCs w:val="22"/>
        </w:rPr>
        <w:t xml:space="preserve"> BÖLÜM</w:t>
      </w:r>
    </w:p>
    <w:p>
      <w:pPr>
        <w:jc w:val="center"/>
        <w:rPr>
          <w:b/>
          <w:bCs/>
          <w:sz w:val="22"/>
          <w:szCs w:val="22"/>
        </w:rPr>
      </w:pPr>
    </w:p>
    <w:p>
      <w:pPr>
        <w:jc w:val="center"/>
        <w:rPr>
          <w:b/>
          <w:bCs/>
          <w:sz w:val="22"/>
          <w:szCs w:val="22"/>
        </w:rPr>
      </w:pPr>
      <w:r>
        <w:rPr>
          <w:b/>
          <w:bCs/>
          <w:sz w:val="22"/>
          <w:szCs w:val="22"/>
        </w:rPr>
        <w:t>BAĞIMSIZ SINIRLI DEN</w:t>
      </w:r>
      <w:r>
        <w:rPr>
          <w:b/>
          <w:bCs/>
          <w:sz w:val="22"/>
          <w:szCs w:val="22"/>
        </w:rPr>
        <w:t>ETİM RAPORU</w:t>
      </w:r>
      <w:r>
        <w:rPr>
          <w:b/>
          <w:bCs/>
          <w:sz w:val="22"/>
          <w:szCs w:val="22"/>
        </w:rPr>
        <w:t>NA İLİŞKİN AÇIKLAMALAR</w:t>
      </w:r>
    </w:p>
    <w:p>
      <w:pPr>
        <w:ind w:left="709"/>
        <w:jc w:val="center"/>
        <w:rPr>
          <w:b/>
          <w:bCs/>
          <w:sz w:val="22"/>
          <w:szCs w:val="22"/>
        </w:rPr>
      </w:pPr>
    </w:p>
    <w:p>
      <w:pPr>
        <w:pStyle w:val="BodyText"/>
        <w:tabs>
          <w:tab w:val="clear" w:pos="0"/>
          <w:tab w:val="clear" w:pos="720"/>
        </w:tabs>
        <w:ind w:left="567" w:hanging="567"/>
        <w:rPr>
          <w:b/>
          <w:bCs/>
          <w:sz w:val="22"/>
          <w:szCs w:val="22"/>
        </w:rPr>
      </w:pPr>
      <w:r>
        <w:rPr>
          <w:b/>
          <w:bCs/>
          <w:sz w:val="22"/>
          <w:szCs w:val="22"/>
        </w:rPr>
        <w:t>I.</w:t>
      </w:r>
      <w:r>
        <w:rPr>
          <w:b/>
          <w:bCs/>
          <w:sz w:val="22"/>
          <w:szCs w:val="22"/>
        </w:rPr>
        <w:tab/>
      </w:r>
      <w:r>
        <w:rPr>
          <w:b/>
          <w:bCs/>
          <w:sz w:val="22"/>
          <w:szCs w:val="22"/>
        </w:rPr>
        <w:t>Bağımsız</w:t>
      </w:r>
      <w:r>
        <w:rPr>
          <w:b/>
          <w:bCs/>
          <w:sz w:val="22"/>
          <w:szCs w:val="22"/>
        </w:rPr>
        <w:t xml:space="preserve"> Sınırlı </w:t>
      </w:r>
      <w:r>
        <w:rPr>
          <w:b/>
          <w:bCs/>
          <w:sz w:val="22"/>
          <w:szCs w:val="22"/>
        </w:rPr>
        <w:t xml:space="preserve"> </w:t>
      </w:r>
      <w:r>
        <w:rPr>
          <w:b/>
          <w:bCs/>
          <w:sz w:val="22"/>
          <w:szCs w:val="22"/>
        </w:rPr>
        <w:t>D</w:t>
      </w:r>
      <w:r>
        <w:rPr>
          <w:b/>
          <w:bCs/>
          <w:sz w:val="22"/>
          <w:szCs w:val="22"/>
        </w:rPr>
        <w:t xml:space="preserve">enetim </w:t>
      </w:r>
      <w:r>
        <w:rPr>
          <w:b/>
          <w:bCs/>
          <w:sz w:val="22"/>
          <w:szCs w:val="22"/>
        </w:rPr>
        <w:t>R</w:t>
      </w:r>
      <w:r>
        <w:rPr>
          <w:b/>
          <w:bCs/>
          <w:sz w:val="22"/>
          <w:szCs w:val="22"/>
        </w:rPr>
        <w:t>aporuna ilişkin olarak açıklanması gereken hususlar:</w:t>
      </w:r>
    </w:p>
    <w:p>
      <w:pPr>
        <w:pStyle w:val="BodyText"/>
        <w:tabs>
          <w:tab w:val="clear" w:pos="0"/>
          <w:tab w:val="clear" w:pos="720"/>
          <w:tab w:val="left" w:pos="7455"/>
        </w:tabs>
        <w:ind w:left="567" w:hanging="567"/>
        <w:rPr>
          <w:sz w:val="22"/>
          <w:szCs w:val="22"/>
        </w:rPr>
      </w:pPr>
      <w:r>
        <w:rPr>
          <w:sz w:val="22"/>
          <w:szCs w:val="22"/>
        </w:rPr>
        <w:tab/>
      </w:r>
    </w:p>
    <w:p>
      <w:pPr>
        <w:pStyle w:val="BodyText"/>
        <w:tabs>
          <w:tab w:val="clear" w:pos="0"/>
        </w:tabs>
        <w:ind w:left="567"/>
        <w:rPr>
          <w:sz w:val="22"/>
          <w:szCs w:val="22"/>
        </w:rPr>
      </w:pPr>
      <w:r>
        <w:rPr>
          <w:sz w:val="22"/>
          <w:szCs w:val="22"/>
        </w:rPr>
        <w:t>Banka</w:t>
      </w:r>
      <w:r>
        <w:rPr>
          <w:sz w:val="22"/>
          <w:szCs w:val="22"/>
        </w:rPr>
        <w:t>’</w:t>
      </w:r>
      <w:r>
        <w:rPr>
          <w:sz w:val="22"/>
          <w:szCs w:val="22"/>
        </w:rPr>
        <w:t xml:space="preserve">nın </w:t>
      </w:r>
      <w:r>
        <w:rPr>
          <w:sz w:val="22"/>
          <w:szCs w:val="22"/>
        </w:rPr>
        <w:t>30 Haziran</w:t>
      </w:r>
      <w:r>
        <w:rPr>
          <w:sz w:val="22"/>
          <w:szCs w:val="22"/>
        </w:rPr>
        <w:t xml:space="preserve"> 20</w:t>
      </w:r>
      <w:r>
        <w:rPr>
          <w:sz w:val="22"/>
          <w:szCs w:val="22"/>
        </w:rPr>
        <w:t>1</w:t>
      </w:r>
      <w:r>
        <w:rPr>
          <w:sz w:val="22"/>
          <w:szCs w:val="22"/>
        </w:rPr>
        <w:t>1</w:t>
      </w:r>
      <w:r>
        <w:rPr>
          <w:sz w:val="22"/>
          <w:szCs w:val="22"/>
        </w:rPr>
        <w:t xml:space="preserve"> tarihli konsolide olmayan finansal tabloları </w:t>
      </w:r>
      <w:r>
        <w:rPr>
          <w:sz w:val="22"/>
        </w:rPr>
        <w:t>DRT Bağımsız Denetim ve Serbe</w:t>
      </w:r>
      <w:r>
        <w:rPr>
          <w:sz w:val="22"/>
        </w:rPr>
        <w:t xml:space="preserve">st Muhasebeci Mali Müşavirlik </w:t>
      </w:r>
      <w:r>
        <w:rPr>
          <w:sz w:val="22"/>
        </w:rPr>
        <w:t>A.Ş.</w:t>
      </w:r>
      <w:r>
        <w:rPr>
          <w:sz w:val="22"/>
        </w:rPr>
        <w:t xml:space="preserve"> </w:t>
      </w:r>
      <w:r>
        <w:rPr>
          <w:sz w:val="22"/>
        </w:rPr>
        <w:t>(</w:t>
      </w:r>
      <w:r>
        <w:rPr>
          <w:sz w:val="22"/>
        </w:rPr>
        <w:t xml:space="preserve">Member of </w:t>
      </w:r>
      <w:r>
        <w:rPr>
          <w:sz w:val="22"/>
        </w:rPr>
        <w:t xml:space="preserve">Deloitte </w:t>
      </w:r>
      <w:r>
        <w:rPr>
          <w:sz w:val="22"/>
        </w:rPr>
        <w:t>Touch</w:t>
      </w:r>
      <w:r>
        <w:rPr>
          <w:sz w:val="22"/>
        </w:rPr>
        <w:t>e</w:t>
      </w:r>
      <w:r>
        <w:rPr>
          <w:sz w:val="22"/>
        </w:rPr>
        <w:t xml:space="preserve"> </w:t>
      </w:r>
      <w:r>
        <w:rPr>
          <w:sz w:val="22"/>
        </w:rPr>
        <w:t>To</w:t>
      </w:r>
      <w:r>
        <w:rPr>
          <w:sz w:val="22"/>
        </w:rPr>
        <w:t>hmatsu</w:t>
      </w:r>
      <w:r>
        <w:rPr>
          <w:sz w:val="22"/>
        </w:rPr>
        <w:t xml:space="preserve"> Limited</w:t>
      </w:r>
      <w:r>
        <w:rPr>
          <w:sz w:val="22"/>
        </w:rPr>
        <w:t>)</w:t>
      </w:r>
      <w:r>
        <w:rPr>
          <w:sz w:val="22"/>
          <w:szCs w:val="22"/>
        </w:rPr>
        <w:t xml:space="preserve"> tarafından</w:t>
      </w:r>
      <w:r>
        <w:rPr>
          <w:sz w:val="22"/>
          <w:szCs w:val="22"/>
        </w:rPr>
        <w:t xml:space="preserve"> </w:t>
      </w:r>
      <w:r>
        <w:rPr>
          <w:sz w:val="22"/>
          <w:szCs w:val="22"/>
        </w:rPr>
        <w:t xml:space="preserve">sınırlı </w:t>
      </w:r>
      <w:r>
        <w:rPr>
          <w:sz w:val="22"/>
          <w:szCs w:val="22"/>
        </w:rPr>
        <w:t xml:space="preserve">denetime tabi tutulmuş olup </w:t>
      </w:r>
      <w:r>
        <w:rPr>
          <w:sz w:val="22"/>
          <w:szCs w:val="22"/>
        </w:rPr>
        <w:t>10</w:t>
      </w:r>
      <w:r>
        <w:rPr>
          <w:sz w:val="22"/>
          <w:szCs w:val="22"/>
        </w:rPr>
        <w:t xml:space="preserve"> Ağustos 2011</w:t>
      </w:r>
      <w:r>
        <w:rPr>
          <w:sz w:val="22"/>
          <w:szCs w:val="22"/>
        </w:rPr>
        <w:t xml:space="preserve"> </w:t>
      </w:r>
      <w:r>
        <w:rPr>
          <w:sz w:val="22"/>
          <w:szCs w:val="22"/>
        </w:rPr>
        <w:t>tarih</w:t>
      </w:r>
      <w:r>
        <w:rPr>
          <w:sz w:val="22"/>
          <w:szCs w:val="22"/>
        </w:rPr>
        <w:t>li</w:t>
      </w:r>
      <w:r>
        <w:rPr>
          <w:sz w:val="22"/>
          <w:szCs w:val="22"/>
        </w:rPr>
        <w:t xml:space="preserve"> bağımsız </w:t>
      </w:r>
      <w:r>
        <w:rPr>
          <w:sz w:val="22"/>
          <w:szCs w:val="22"/>
        </w:rPr>
        <w:t xml:space="preserve">sınırlı </w:t>
      </w:r>
      <w:r>
        <w:rPr>
          <w:sz w:val="22"/>
          <w:szCs w:val="22"/>
        </w:rPr>
        <w:t xml:space="preserve">denetim raporu </w:t>
      </w:r>
      <w:r>
        <w:rPr>
          <w:sz w:val="22"/>
          <w:szCs w:val="22"/>
        </w:rPr>
        <w:t xml:space="preserve">konsolide olmayan </w:t>
      </w:r>
      <w:r>
        <w:rPr>
          <w:sz w:val="22"/>
          <w:szCs w:val="22"/>
        </w:rPr>
        <w:t>finansal tabloların başında yer almaktadır.</w:t>
      </w:r>
    </w:p>
    <w:p>
      <w:pPr>
        <w:pStyle w:val="BodyText"/>
        <w:tabs>
          <w:tab w:val="clear" w:pos="0"/>
        </w:tabs>
        <w:ind w:left="567" w:hanging="567"/>
        <w:rPr>
          <w:sz w:val="22"/>
          <w:szCs w:val="22"/>
        </w:rPr>
      </w:pPr>
    </w:p>
    <w:p>
      <w:pPr>
        <w:ind w:left="567" w:hanging="567"/>
        <w:jc w:val="both"/>
        <w:rPr>
          <w:b/>
          <w:bCs/>
          <w:sz w:val="22"/>
          <w:szCs w:val="22"/>
        </w:rPr>
      </w:pPr>
      <w:r>
        <w:rPr>
          <w:b/>
          <w:bCs/>
          <w:sz w:val="22"/>
          <w:szCs w:val="22"/>
        </w:rPr>
        <w:t>II.</w:t>
      </w:r>
      <w:r>
        <w:rPr>
          <w:b/>
          <w:bCs/>
          <w:sz w:val="22"/>
          <w:szCs w:val="22"/>
        </w:rPr>
        <w:tab/>
      </w:r>
      <w:r>
        <w:rPr>
          <w:b/>
          <w:bCs/>
          <w:sz w:val="22"/>
          <w:szCs w:val="22"/>
        </w:rPr>
        <w:t>Bağımsız denetçi tarafından hazırlanan açıklama ve dipnotlar:</w:t>
      </w:r>
    </w:p>
    <w:p>
      <w:pPr>
        <w:pStyle w:val="BodyText"/>
        <w:tabs>
          <w:tab w:val="clear" w:pos="0"/>
          <w:tab w:val="clear" w:pos="567"/>
          <w:tab w:val="clear" w:pos="720"/>
          <w:tab w:val="left" w:pos="709"/>
        </w:tabs>
        <w:ind w:left="567" w:hanging="567"/>
        <w:rPr>
          <w:sz w:val="22"/>
          <w:szCs w:val="22"/>
        </w:rPr>
      </w:pPr>
    </w:p>
    <w:p>
      <w:pPr>
        <w:pStyle w:val="BodyText"/>
        <w:tabs>
          <w:tab w:val="clear" w:pos="0"/>
        </w:tabs>
        <w:rPr>
          <w:sz w:val="22"/>
          <w:szCs w:val="22"/>
        </w:rPr>
      </w:pPr>
      <w:r>
        <w:rPr>
          <w:sz w:val="22"/>
          <w:szCs w:val="22"/>
        </w:rPr>
        <w:tab/>
      </w:r>
      <w:r>
        <w:rPr>
          <w:sz w:val="22"/>
          <w:szCs w:val="22"/>
        </w:rPr>
        <w:t>Bulunmamaktadır.</w:t>
      </w:r>
    </w:p>
    <w:sectPr>
      <w:headerReference w:type="default" r:id="rId62"/>
      <w:footerReference w:type="first" r:id="rId63"/>
      <w:pgSz w:w="11907" w:h="16840" w:code="9"/>
      <w:pgMar w:top="680" w:right="964" w:bottom="567" w:left="1134" w:header="624" w:footer="397" w:gutter="0"/>
      <w:pgNumType w:start="1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276" w:rsidRDefault="00C75276">
      <w:r>
        <w:separator/>
      </w:r>
    </w:p>
  </w:endnote>
  <w:endnote w:type="continuationSeparator" w:id="0">
    <w:p w:rsidR="00C75276" w:rsidRDefault="00C75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Pr="00D35D3B" w:rsidRDefault="00B55D14" w:rsidP="00F2751E">
    <w:pPr>
      <w:pStyle w:val="Footer"/>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Pr="00D35D3B" w:rsidRDefault="00EF2A52" w:rsidP="003C3AB8">
    <w:pPr>
      <w:pStyle w:val="Footer"/>
      <w:framePr w:wrap="around" w:vAnchor="text" w:hAnchor="margin" w:xAlign="center" w:y="1"/>
      <w:rPr>
        <w:rStyle w:val="PageNumber"/>
        <w:sz w:val="20"/>
        <w:szCs w:val="20"/>
      </w:rPr>
    </w:pPr>
    <w:r w:rsidRPr="005E081A">
      <w:rPr>
        <w:rStyle w:val="PageNumber"/>
        <w:sz w:val="20"/>
        <w:szCs w:val="20"/>
      </w:rPr>
      <w:fldChar w:fldCharType="begin"/>
    </w:r>
    <w:r w:rsidR="00B55D14" w:rsidRPr="005E081A">
      <w:rPr>
        <w:rStyle w:val="PageNumber"/>
        <w:sz w:val="20"/>
        <w:szCs w:val="20"/>
      </w:rPr>
      <w:instrText xml:space="preserve">PAGE  </w:instrText>
    </w:r>
    <w:r w:rsidRPr="005E081A">
      <w:rPr>
        <w:rStyle w:val="PageNumber"/>
        <w:sz w:val="20"/>
        <w:szCs w:val="20"/>
      </w:rPr>
      <w:fldChar w:fldCharType="separate"/>
    </w:r>
    <w:r w:rsidR="00B55D14">
      <w:rPr>
        <w:rStyle w:val="PageNumber"/>
        <w:noProof/>
        <w:sz w:val="20"/>
        <w:szCs w:val="20"/>
      </w:rPr>
      <w:t>1</w:t>
    </w:r>
    <w:r w:rsidRPr="005E081A">
      <w:rPr>
        <w:rStyle w:val="PageNumber"/>
        <w:sz w:val="20"/>
        <w:szCs w:val="20"/>
      </w:rPr>
      <w:fldChar w:fldCharType="end"/>
    </w:r>
  </w:p>
  <w:p w:rsidR="00B55D14" w:rsidRPr="00F2751E" w:rsidRDefault="00B55D14" w:rsidP="00F275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Pr="00D35D3B" w:rsidRDefault="00EF2A52" w:rsidP="00F2751E">
    <w:pPr>
      <w:pStyle w:val="Footer"/>
      <w:jc w:val="center"/>
      <w:rPr>
        <w:sz w:val="20"/>
        <w:szCs w:val="20"/>
      </w:rPr>
    </w:pPr>
    <w:r w:rsidRPr="005E081A">
      <w:rPr>
        <w:rStyle w:val="PageNumber"/>
        <w:sz w:val="20"/>
        <w:szCs w:val="20"/>
      </w:rPr>
      <w:fldChar w:fldCharType="begin"/>
    </w:r>
    <w:r w:rsidR="00B55D14" w:rsidRPr="005E081A">
      <w:rPr>
        <w:rStyle w:val="PageNumber"/>
        <w:sz w:val="20"/>
        <w:szCs w:val="20"/>
      </w:rPr>
      <w:instrText xml:space="preserve"> PAGE </w:instrText>
    </w:r>
    <w:r w:rsidRPr="005E081A">
      <w:rPr>
        <w:rStyle w:val="PageNumber"/>
        <w:sz w:val="20"/>
        <w:szCs w:val="20"/>
      </w:rPr>
      <w:fldChar w:fldCharType="separate"/>
    </w:r>
    <w:r w:rsidR="00783B0A">
      <w:rPr>
        <w:rStyle w:val="PageNumber"/>
        <w:noProof/>
        <w:sz w:val="20"/>
        <w:szCs w:val="20"/>
      </w:rPr>
      <w:t>59</w:t>
    </w:r>
    <w:r w:rsidRPr="005E081A">
      <w:rPr>
        <w:rStyle w:val="PageNumber"/>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Pr="00D35D3B" w:rsidRDefault="00EF2A52" w:rsidP="003C3AB8">
    <w:pPr>
      <w:pStyle w:val="Footer"/>
      <w:framePr w:wrap="around" w:vAnchor="text" w:hAnchor="margin" w:xAlign="center" w:y="1"/>
      <w:rPr>
        <w:rStyle w:val="PageNumber"/>
        <w:sz w:val="20"/>
        <w:szCs w:val="20"/>
      </w:rPr>
    </w:pPr>
    <w:r w:rsidRPr="005E081A">
      <w:rPr>
        <w:rStyle w:val="PageNumber"/>
        <w:sz w:val="20"/>
        <w:szCs w:val="20"/>
      </w:rPr>
      <w:fldChar w:fldCharType="begin"/>
    </w:r>
    <w:r w:rsidR="00B55D14" w:rsidRPr="005E081A">
      <w:rPr>
        <w:rStyle w:val="PageNumber"/>
        <w:sz w:val="20"/>
        <w:szCs w:val="20"/>
      </w:rPr>
      <w:instrText xml:space="preserve">PAGE  </w:instrText>
    </w:r>
    <w:r w:rsidRPr="005E081A">
      <w:rPr>
        <w:rStyle w:val="PageNumber"/>
        <w:sz w:val="20"/>
        <w:szCs w:val="20"/>
      </w:rPr>
      <w:fldChar w:fldCharType="separate"/>
    </w:r>
    <w:r w:rsidR="00783B0A">
      <w:rPr>
        <w:rStyle w:val="PageNumber"/>
        <w:noProof/>
        <w:sz w:val="20"/>
        <w:szCs w:val="20"/>
      </w:rPr>
      <w:t>11</w:t>
    </w:r>
    <w:r w:rsidRPr="005E081A">
      <w:rPr>
        <w:rStyle w:val="PageNumber"/>
        <w:sz w:val="20"/>
        <w:szCs w:val="20"/>
      </w:rPr>
      <w:fldChar w:fldCharType="end"/>
    </w:r>
  </w:p>
  <w:p w:rsidR="00B55D14" w:rsidRDefault="00B55D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276" w:rsidRDefault="00C75276">
      <w:r>
        <w:separator/>
      </w:r>
    </w:p>
  </w:footnote>
  <w:footnote w:type="continuationSeparator" w:id="0">
    <w:p w:rsidR="00C75276" w:rsidRDefault="00C75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Default="00B55D14" w:rsidP="00BB3048">
    <w:pPr>
      <w:pStyle w:val="Header"/>
      <w:tabs>
        <w:tab w:val="clear" w:pos="4153"/>
        <w:tab w:val="clear" w:pos="8306"/>
        <w:tab w:val="left" w:pos="7655"/>
      </w:tabs>
      <w:rPr>
        <w:b/>
        <w:bCs/>
        <w:sz w:val="20"/>
        <w:szCs w:val="20"/>
      </w:rPr>
    </w:pPr>
    <w:r>
      <w:rPr>
        <w:b/>
        <w:bCs/>
        <w:sz w:val="20"/>
        <w:szCs w:val="20"/>
      </w:rPr>
      <w:t>TÜRKİYE KALKINMA BANKASI A.Ş.</w:t>
    </w:r>
  </w:p>
  <w:p w:rsidR="00B55D14" w:rsidRDefault="00B55D14" w:rsidP="00BB3048">
    <w:pPr>
      <w:pStyle w:val="Header"/>
      <w:tabs>
        <w:tab w:val="clear" w:pos="4153"/>
        <w:tab w:val="clear" w:pos="8306"/>
        <w:tab w:val="left" w:pos="7655"/>
      </w:tabs>
      <w:rPr>
        <w:b/>
        <w:bCs/>
        <w:sz w:val="20"/>
        <w:szCs w:val="20"/>
      </w:rPr>
    </w:pPr>
    <w:r>
      <w:rPr>
        <w:b/>
        <w:bCs/>
        <w:sz w:val="20"/>
        <w:szCs w:val="20"/>
      </w:rPr>
      <w:t>30 Haziran 2011  Tarihi İtibarıyla Hazırlanan Konsolide Olmayan</w:t>
    </w:r>
  </w:p>
  <w:p w:rsidR="00B55D14" w:rsidRDefault="00B55D14" w:rsidP="00BB3048">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B55D14" w:rsidRDefault="00B55D14"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B55D14" w:rsidRPr="00BB3048" w:rsidRDefault="00B55D14"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Default="00B55D14" w:rsidP="00621BF2">
    <w:pPr>
      <w:pStyle w:val="Header"/>
      <w:tabs>
        <w:tab w:val="clear" w:pos="4153"/>
        <w:tab w:val="clear" w:pos="8306"/>
        <w:tab w:val="left" w:pos="7655"/>
      </w:tabs>
      <w:rPr>
        <w:b/>
        <w:bCs/>
        <w:sz w:val="20"/>
        <w:szCs w:val="20"/>
      </w:rPr>
    </w:pPr>
    <w:r>
      <w:rPr>
        <w:b/>
        <w:bCs/>
        <w:sz w:val="20"/>
        <w:szCs w:val="20"/>
      </w:rPr>
      <w:t>TÜRKİYE KALKINMA BANKASI A.Ş.</w:t>
    </w:r>
  </w:p>
  <w:p w:rsidR="00B55D14" w:rsidRDefault="00B55D14" w:rsidP="00621BF2">
    <w:pPr>
      <w:pStyle w:val="Header"/>
      <w:tabs>
        <w:tab w:val="clear" w:pos="4153"/>
        <w:tab w:val="clear" w:pos="8306"/>
        <w:tab w:val="left" w:pos="7655"/>
      </w:tabs>
      <w:rPr>
        <w:b/>
        <w:bCs/>
        <w:sz w:val="20"/>
        <w:szCs w:val="20"/>
      </w:rPr>
    </w:pPr>
    <w:r>
      <w:rPr>
        <w:b/>
        <w:bCs/>
        <w:sz w:val="20"/>
        <w:szCs w:val="20"/>
      </w:rPr>
      <w:t>30 Haziran 2011  Tarihi İtibarıyla Hazırlanan Konsolide Olmayan</w:t>
    </w:r>
  </w:p>
  <w:p w:rsidR="00B55D14" w:rsidRDefault="00B55D14" w:rsidP="00621BF2">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B55D14" w:rsidRDefault="00B55D14" w:rsidP="00621BF2">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B55D14" w:rsidRPr="00D5397D" w:rsidRDefault="00B55D14" w:rsidP="00621BF2">
    <w:pPr>
      <w:pStyle w:val="Header"/>
      <w:tabs>
        <w:tab w:val="clear" w:pos="4153"/>
        <w:tab w:val="clear" w:pos="8306"/>
        <w:tab w:val="left" w:pos="7655"/>
        <w:tab w:val="right" w:pos="9809"/>
      </w:tabs>
      <w:rPr>
        <w:sz w:val="20"/>
        <w:szCs w:val="20"/>
      </w:rPr>
    </w:pPr>
    <w:r w:rsidRPr="00BB3048">
      <w:rPr>
        <w:sz w:val="20"/>
        <w:szCs w:val="2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Default="00B55D14" w:rsidP="006A62A1">
    <w:pPr>
      <w:pStyle w:val="Header"/>
      <w:rPr>
        <w:szCs w:val="20"/>
      </w:rPr>
    </w:pPr>
  </w:p>
  <w:p w:rsidR="00B55D14" w:rsidRPr="006A62A1" w:rsidRDefault="00B55D14" w:rsidP="006A62A1">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4" w:rsidRDefault="00B55D14" w:rsidP="00621BF2">
    <w:pPr>
      <w:pStyle w:val="Header"/>
      <w:tabs>
        <w:tab w:val="clear" w:pos="4153"/>
        <w:tab w:val="clear" w:pos="8306"/>
        <w:tab w:val="left" w:pos="7655"/>
      </w:tabs>
      <w:rPr>
        <w:b/>
        <w:bCs/>
        <w:sz w:val="20"/>
        <w:szCs w:val="20"/>
      </w:rPr>
    </w:pPr>
    <w:r>
      <w:rPr>
        <w:b/>
        <w:bCs/>
        <w:sz w:val="20"/>
        <w:szCs w:val="20"/>
      </w:rPr>
      <w:t>TÜRKİYE KALKINMA BANKASI A.Ş.</w:t>
    </w:r>
  </w:p>
  <w:p w:rsidR="00B55D14" w:rsidRDefault="00B55D14" w:rsidP="00621BF2">
    <w:pPr>
      <w:pStyle w:val="Header"/>
      <w:tabs>
        <w:tab w:val="clear" w:pos="4153"/>
        <w:tab w:val="clear" w:pos="8306"/>
        <w:tab w:val="left" w:pos="7655"/>
      </w:tabs>
      <w:rPr>
        <w:b/>
        <w:bCs/>
        <w:sz w:val="20"/>
        <w:szCs w:val="20"/>
      </w:rPr>
    </w:pPr>
    <w:r>
      <w:rPr>
        <w:b/>
        <w:bCs/>
        <w:sz w:val="20"/>
        <w:szCs w:val="20"/>
      </w:rPr>
      <w:t>30 Haziran 2011  Tarihi İtibarıyla Hazırlanan Konsolide Olmayan</w:t>
    </w:r>
  </w:p>
  <w:p w:rsidR="00B55D14" w:rsidRDefault="00B55D14" w:rsidP="00621BF2">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B55D14" w:rsidRPr="00D5397D" w:rsidRDefault="00B55D14" w:rsidP="00621BF2">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061"/>
    <w:multiLevelType w:val="hybridMultilevel"/>
    <w:tmpl w:val="29608DE4"/>
    <w:lvl w:ilvl="0" w:tplc="17E62964">
      <w:start w:val="1"/>
      <w:numFmt w:val="upperRoman"/>
      <w:lvlText w:val="%1-"/>
      <w:lvlJc w:val="left"/>
      <w:pPr>
        <w:tabs>
          <w:tab w:val="num" w:pos="1080"/>
        </w:tabs>
        <w:ind w:left="1080" w:hanging="720"/>
      </w:pPr>
      <w:rPr>
        <w:rFonts w:cs="Times New Roman" w:hint="default"/>
        <w:b/>
        <w:bCs/>
      </w:rPr>
    </w:lvl>
    <w:lvl w:ilvl="1" w:tplc="4DD2D4F2" w:tentative="1">
      <w:start w:val="1"/>
      <w:numFmt w:val="lowerLetter"/>
      <w:lvlText w:val="%2."/>
      <w:lvlJc w:val="left"/>
      <w:pPr>
        <w:tabs>
          <w:tab w:val="num" w:pos="1440"/>
        </w:tabs>
        <w:ind w:left="1440" w:hanging="360"/>
      </w:pPr>
      <w:rPr>
        <w:rFonts w:cs="Times New Roman"/>
      </w:rPr>
    </w:lvl>
    <w:lvl w:ilvl="2" w:tplc="EDE89530" w:tentative="1">
      <w:start w:val="1"/>
      <w:numFmt w:val="lowerRoman"/>
      <w:lvlText w:val="%3."/>
      <w:lvlJc w:val="right"/>
      <w:pPr>
        <w:tabs>
          <w:tab w:val="num" w:pos="2160"/>
        </w:tabs>
        <w:ind w:left="2160" w:hanging="180"/>
      </w:pPr>
      <w:rPr>
        <w:rFonts w:cs="Times New Roman"/>
      </w:rPr>
    </w:lvl>
    <w:lvl w:ilvl="3" w:tplc="D452D9EC" w:tentative="1">
      <w:start w:val="1"/>
      <w:numFmt w:val="decimal"/>
      <w:lvlText w:val="%4."/>
      <w:lvlJc w:val="left"/>
      <w:pPr>
        <w:tabs>
          <w:tab w:val="num" w:pos="2880"/>
        </w:tabs>
        <w:ind w:left="2880" w:hanging="360"/>
      </w:pPr>
      <w:rPr>
        <w:rFonts w:cs="Times New Roman"/>
      </w:rPr>
    </w:lvl>
    <w:lvl w:ilvl="4" w:tplc="B74EC618" w:tentative="1">
      <w:start w:val="1"/>
      <w:numFmt w:val="lowerLetter"/>
      <w:lvlText w:val="%5."/>
      <w:lvlJc w:val="left"/>
      <w:pPr>
        <w:tabs>
          <w:tab w:val="num" w:pos="3600"/>
        </w:tabs>
        <w:ind w:left="3600" w:hanging="360"/>
      </w:pPr>
      <w:rPr>
        <w:rFonts w:cs="Times New Roman"/>
      </w:rPr>
    </w:lvl>
    <w:lvl w:ilvl="5" w:tplc="3F60B1D8" w:tentative="1">
      <w:start w:val="1"/>
      <w:numFmt w:val="lowerRoman"/>
      <w:lvlText w:val="%6."/>
      <w:lvlJc w:val="right"/>
      <w:pPr>
        <w:tabs>
          <w:tab w:val="num" w:pos="4320"/>
        </w:tabs>
        <w:ind w:left="4320" w:hanging="180"/>
      </w:pPr>
      <w:rPr>
        <w:rFonts w:cs="Times New Roman"/>
      </w:rPr>
    </w:lvl>
    <w:lvl w:ilvl="6" w:tplc="618EE0BC" w:tentative="1">
      <w:start w:val="1"/>
      <w:numFmt w:val="decimal"/>
      <w:lvlText w:val="%7."/>
      <w:lvlJc w:val="left"/>
      <w:pPr>
        <w:tabs>
          <w:tab w:val="num" w:pos="5040"/>
        </w:tabs>
        <w:ind w:left="5040" w:hanging="360"/>
      </w:pPr>
      <w:rPr>
        <w:rFonts w:cs="Times New Roman"/>
      </w:rPr>
    </w:lvl>
    <w:lvl w:ilvl="7" w:tplc="3F306DB4" w:tentative="1">
      <w:start w:val="1"/>
      <w:numFmt w:val="lowerLetter"/>
      <w:lvlText w:val="%8."/>
      <w:lvlJc w:val="left"/>
      <w:pPr>
        <w:tabs>
          <w:tab w:val="num" w:pos="5760"/>
        </w:tabs>
        <w:ind w:left="5760" w:hanging="360"/>
      </w:pPr>
      <w:rPr>
        <w:rFonts w:cs="Times New Roman"/>
      </w:rPr>
    </w:lvl>
    <w:lvl w:ilvl="8" w:tplc="31DE70FA" w:tentative="1">
      <w:start w:val="1"/>
      <w:numFmt w:val="lowerRoman"/>
      <w:lvlText w:val="%9."/>
      <w:lvlJc w:val="right"/>
      <w:pPr>
        <w:tabs>
          <w:tab w:val="num" w:pos="6480"/>
        </w:tabs>
        <w:ind w:left="6480" w:hanging="180"/>
      </w:pPr>
      <w:rPr>
        <w:rFonts w:cs="Times New Roman"/>
      </w:rPr>
    </w:lvl>
  </w:abstractNum>
  <w:abstractNum w:abstractNumId="1">
    <w:nsid w:val="012215DD"/>
    <w:multiLevelType w:val="hybridMultilevel"/>
    <w:tmpl w:val="63088F66"/>
    <w:lvl w:ilvl="0" w:tplc="311EC432">
      <w:start w:val="1"/>
      <w:numFmt w:val="lowerRoman"/>
      <w:lvlText w:val="%1-"/>
      <w:lvlJc w:val="left"/>
      <w:pPr>
        <w:ind w:left="1732" w:hanging="720"/>
      </w:pPr>
      <w:rPr>
        <w:rFonts w:hint="default"/>
      </w:rPr>
    </w:lvl>
    <w:lvl w:ilvl="1" w:tplc="041F0019" w:tentative="1">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2">
    <w:nsid w:val="042A63AA"/>
    <w:multiLevelType w:val="hybridMultilevel"/>
    <w:tmpl w:val="31F883AA"/>
    <w:lvl w:ilvl="0" w:tplc="B032109C">
      <w:start w:val="1"/>
      <w:numFmt w:val="upperRoman"/>
      <w:lvlText w:val="%1-"/>
      <w:lvlJc w:val="left"/>
      <w:pPr>
        <w:tabs>
          <w:tab w:val="num" w:pos="1080"/>
        </w:tabs>
        <w:ind w:left="1080" w:hanging="720"/>
      </w:pPr>
      <w:rPr>
        <w:rFonts w:cs="Times New Roman" w:hint="default"/>
        <w:b/>
        <w:bCs/>
      </w:rPr>
    </w:lvl>
    <w:lvl w:ilvl="1" w:tplc="738C2F62" w:tentative="1">
      <w:start w:val="1"/>
      <w:numFmt w:val="lowerLetter"/>
      <w:lvlText w:val="%2."/>
      <w:lvlJc w:val="left"/>
      <w:pPr>
        <w:tabs>
          <w:tab w:val="num" w:pos="1440"/>
        </w:tabs>
        <w:ind w:left="1440" w:hanging="360"/>
      </w:pPr>
      <w:rPr>
        <w:rFonts w:cs="Times New Roman"/>
      </w:rPr>
    </w:lvl>
    <w:lvl w:ilvl="2" w:tplc="1E32D84C" w:tentative="1">
      <w:start w:val="1"/>
      <w:numFmt w:val="lowerRoman"/>
      <w:lvlText w:val="%3."/>
      <w:lvlJc w:val="right"/>
      <w:pPr>
        <w:tabs>
          <w:tab w:val="num" w:pos="2160"/>
        </w:tabs>
        <w:ind w:left="2160" w:hanging="180"/>
      </w:pPr>
      <w:rPr>
        <w:rFonts w:cs="Times New Roman"/>
      </w:rPr>
    </w:lvl>
    <w:lvl w:ilvl="3" w:tplc="61902726" w:tentative="1">
      <w:start w:val="1"/>
      <w:numFmt w:val="decimal"/>
      <w:lvlText w:val="%4."/>
      <w:lvlJc w:val="left"/>
      <w:pPr>
        <w:tabs>
          <w:tab w:val="num" w:pos="2880"/>
        </w:tabs>
        <w:ind w:left="2880" w:hanging="360"/>
      </w:pPr>
      <w:rPr>
        <w:rFonts w:cs="Times New Roman"/>
      </w:rPr>
    </w:lvl>
    <w:lvl w:ilvl="4" w:tplc="6950B262" w:tentative="1">
      <w:start w:val="1"/>
      <w:numFmt w:val="lowerLetter"/>
      <w:lvlText w:val="%5."/>
      <w:lvlJc w:val="left"/>
      <w:pPr>
        <w:tabs>
          <w:tab w:val="num" w:pos="3600"/>
        </w:tabs>
        <w:ind w:left="3600" w:hanging="360"/>
      </w:pPr>
      <w:rPr>
        <w:rFonts w:cs="Times New Roman"/>
      </w:rPr>
    </w:lvl>
    <w:lvl w:ilvl="5" w:tplc="EBC440DC" w:tentative="1">
      <w:start w:val="1"/>
      <w:numFmt w:val="lowerRoman"/>
      <w:lvlText w:val="%6."/>
      <w:lvlJc w:val="right"/>
      <w:pPr>
        <w:tabs>
          <w:tab w:val="num" w:pos="4320"/>
        </w:tabs>
        <w:ind w:left="4320" w:hanging="180"/>
      </w:pPr>
      <w:rPr>
        <w:rFonts w:cs="Times New Roman"/>
      </w:rPr>
    </w:lvl>
    <w:lvl w:ilvl="6" w:tplc="9EE09F7A" w:tentative="1">
      <w:start w:val="1"/>
      <w:numFmt w:val="decimal"/>
      <w:lvlText w:val="%7."/>
      <w:lvlJc w:val="left"/>
      <w:pPr>
        <w:tabs>
          <w:tab w:val="num" w:pos="5040"/>
        </w:tabs>
        <w:ind w:left="5040" w:hanging="360"/>
      </w:pPr>
      <w:rPr>
        <w:rFonts w:cs="Times New Roman"/>
      </w:rPr>
    </w:lvl>
    <w:lvl w:ilvl="7" w:tplc="866ED032" w:tentative="1">
      <w:start w:val="1"/>
      <w:numFmt w:val="lowerLetter"/>
      <w:lvlText w:val="%8."/>
      <w:lvlJc w:val="left"/>
      <w:pPr>
        <w:tabs>
          <w:tab w:val="num" w:pos="5760"/>
        </w:tabs>
        <w:ind w:left="5760" w:hanging="360"/>
      </w:pPr>
      <w:rPr>
        <w:rFonts w:cs="Times New Roman"/>
      </w:rPr>
    </w:lvl>
    <w:lvl w:ilvl="8" w:tplc="C0D2DF8C" w:tentative="1">
      <w:start w:val="1"/>
      <w:numFmt w:val="lowerRoman"/>
      <w:lvlText w:val="%9."/>
      <w:lvlJc w:val="right"/>
      <w:pPr>
        <w:tabs>
          <w:tab w:val="num" w:pos="6480"/>
        </w:tabs>
        <w:ind w:left="6480" w:hanging="180"/>
      </w:pPr>
      <w:rPr>
        <w:rFonts w:cs="Times New Roman"/>
      </w:rPr>
    </w:lvl>
  </w:abstractNum>
  <w:abstractNum w:abstractNumId="3">
    <w:nsid w:val="06AD3DC4"/>
    <w:multiLevelType w:val="hybridMultilevel"/>
    <w:tmpl w:val="B6C65AC4"/>
    <w:lvl w:ilvl="0" w:tplc="9374526A">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A256CF1"/>
    <w:multiLevelType w:val="hybridMultilevel"/>
    <w:tmpl w:val="669E1A1A"/>
    <w:lvl w:ilvl="0" w:tplc="FFFFFFFF">
      <w:start w:val="1"/>
      <w:numFmt w:val="upperRoman"/>
      <w:lvlText w:val="%1-"/>
      <w:lvlJc w:val="left"/>
      <w:pPr>
        <w:tabs>
          <w:tab w:val="num" w:pos="1080"/>
        </w:tabs>
        <w:ind w:left="1080" w:hanging="72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0C944D0B"/>
    <w:multiLevelType w:val="hybridMultilevel"/>
    <w:tmpl w:val="BB2E8D5C"/>
    <w:lvl w:ilvl="0" w:tplc="93D85E94">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0EEF1EDD"/>
    <w:multiLevelType w:val="hybridMultilevel"/>
    <w:tmpl w:val="9B0E14F6"/>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1908CE"/>
    <w:multiLevelType w:val="hybridMultilevel"/>
    <w:tmpl w:val="0DF4B63E"/>
    <w:lvl w:ilvl="0" w:tplc="17569BF2">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6E0341F"/>
    <w:multiLevelType w:val="hybridMultilevel"/>
    <w:tmpl w:val="9216FDEE"/>
    <w:lvl w:ilvl="0" w:tplc="09E86E3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8C55AE"/>
    <w:multiLevelType w:val="hybridMultilevel"/>
    <w:tmpl w:val="737001A0"/>
    <w:lvl w:ilvl="0" w:tplc="BC08F3C4">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CE5374A"/>
    <w:multiLevelType w:val="hybridMultilevel"/>
    <w:tmpl w:val="B96A9C8E"/>
    <w:lvl w:ilvl="0" w:tplc="0614A072">
      <w:start w:val="7"/>
      <w:numFmt w:val="bullet"/>
      <w:lvlText w:val="-"/>
      <w:lvlJc w:val="left"/>
      <w:pPr>
        <w:ind w:left="786" w:hanging="360"/>
      </w:pPr>
      <w:rPr>
        <w:rFonts w:ascii="Times New Roman" w:eastAsia="Times New Roman" w:hAnsi="Times New Roman"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2">
    <w:nsid w:val="1E490210"/>
    <w:multiLevelType w:val="hybridMultilevel"/>
    <w:tmpl w:val="F79260F4"/>
    <w:lvl w:ilvl="0" w:tplc="1C9E5C64">
      <w:start w:val="2"/>
      <w:numFmt w:val="upperRoman"/>
      <w:lvlText w:val="%1."/>
      <w:lvlJc w:val="left"/>
      <w:pPr>
        <w:ind w:left="840" w:hanging="720"/>
      </w:pPr>
      <w:rPr>
        <w:rFonts w:hint="default"/>
      </w:rPr>
    </w:lvl>
    <w:lvl w:ilvl="1" w:tplc="041F0019" w:tentative="1">
      <w:start w:val="1"/>
      <w:numFmt w:val="lowerLetter"/>
      <w:lvlText w:val="%2."/>
      <w:lvlJc w:val="left"/>
      <w:pPr>
        <w:ind w:left="1200" w:hanging="360"/>
      </w:pPr>
    </w:lvl>
    <w:lvl w:ilvl="2" w:tplc="041F001B">
      <w:start w:val="1"/>
      <w:numFmt w:val="lowerRoman"/>
      <w:lvlText w:val="%3."/>
      <w:lvlJc w:val="right"/>
      <w:pPr>
        <w:ind w:left="18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3">
    <w:nsid w:val="1F6173C0"/>
    <w:multiLevelType w:val="hybridMultilevel"/>
    <w:tmpl w:val="AAD8D402"/>
    <w:lvl w:ilvl="0" w:tplc="514AF4D6">
      <w:start w:val="2"/>
      <w:numFmt w:val="upperRoman"/>
      <w:lvlText w:val="%1-"/>
      <w:lvlJc w:val="left"/>
      <w:pPr>
        <w:ind w:left="193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223606F"/>
    <w:multiLevelType w:val="hybridMultilevel"/>
    <w:tmpl w:val="B1FA7A5C"/>
    <w:lvl w:ilvl="0" w:tplc="ADF2AB62">
      <w:start w:val="4"/>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50E4F91"/>
    <w:multiLevelType w:val="hybridMultilevel"/>
    <w:tmpl w:val="0FDCA8B6"/>
    <w:lvl w:ilvl="0" w:tplc="B108125E">
      <w:start w:val="1"/>
      <w:numFmt w:val="lowerLetter"/>
      <w:lvlText w:val="%1."/>
      <w:lvlJc w:val="left"/>
      <w:pPr>
        <w:ind w:left="927" w:hanging="360"/>
      </w:pPr>
      <w:rPr>
        <w:rFonts w:hint="default"/>
        <w:b/>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7EF2ADB"/>
    <w:multiLevelType w:val="hybridMultilevel"/>
    <w:tmpl w:val="C2B67192"/>
    <w:lvl w:ilvl="0" w:tplc="50A40960">
      <w:start w:val="2"/>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C4A42A9"/>
    <w:multiLevelType w:val="hybridMultilevel"/>
    <w:tmpl w:val="4836AB5C"/>
    <w:lvl w:ilvl="0" w:tplc="13ACEE72">
      <w:start w:val="1"/>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8">
    <w:nsid w:val="314A18FB"/>
    <w:multiLevelType w:val="hybridMultilevel"/>
    <w:tmpl w:val="6016BB54"/>
    <w:lvl w:ilvl="0" w:tplc="33B29F7A">
      <w:start w:val="1"/>
      <w:numFmt w:val="upperRoman"/>
      <w:lvlText w:val="%1-"/>
      <w:lvlJc w:val="left"/>
      <w:pPr>
        <w:ind w:left="1932" w:hanging="720"/>
      </w:pPr>
      <w:rPr>
        <w:rFonts w:hint="default"/>
      </w:rPr>
    </w:lvl>
    <w:lvl w:ilvl="1" w:tplc="041F0019">
      <w:start w:val="1"/>
      <w:numFmt w:val="lowerLetter"/>
      <w:lvlText w:val="%2."/>
      <w:lvlJc w:val="left"/>
      <w:pPr>
        <w:ind w:left="2292" w:hanging="360"/>
      </w:pPr>
    </w:lvl>
    <w:lvl w:ilvl="2" w:tplc="041F001B" w:tentative="1">
      <w:start w:val="1"/>
      <w:numFmt w:val="lowerRoman"/>
      <w:lvlText w:val="%3."/>
      <w:lvlJc w:val="right"/>
      <w:pPr>
        <w:ind w:left="3012" w:hanging="180"/>
      </w:pPr>
    </w:lvl>
    <w:lvl w:ilvl="3" w:tplc="041F000F" w:tentative="1">
      <w:start w:val="1"/>
      <w:numFmt w:val="decimal"/>
      <w:lvlText w:val="%4."/>
      <w:lvlJc w:val="left"/>
      <w:pPr>
        <w:ind w:left="3732" w:hanging="360"/>
      </w:pPr>
    </w:lvl>
    <w:lvl w:ilvl="4" w:tplc="041F0019" w:tentative="1">
      <w:start w:val="1"/>
      <w:numFmt w:val="lowerLetter"/>
      <w:lvlText w:val="%5."/>
      <w:lvlJc w:val="left"/>
      <w:pPr>
        <w:ind w:left="4452" w:hanging="360"/>
      </w:pPr>
    </w:lvl>
    <w:lvl w:ilvl="5" w:tplc="041F001B" w:tentative="1">
      <w:start w:val="1"/>
      <w:numFmt w:val="lowerRoman"/>
      <w:lvlText w:val="%6."/>
      <w:lvlJc w:val="right"/>
      <w:pPr>
        <w:ind w:left="5172" w:hanging="180"/>
      </w:pPr>
    </w:lvl>
    <w:lvl w:ilvl="6" w:tplc="041F000F" w:tentative="1">
      <w:start w:val="1"/>
      <w:numFmt w:val="decimal"/>
      <w:lvlText w:val="%7."/>
      <w:lvlJc w:val="left"/>
      <w:pPr>
        <w:ind w:left="5892" w:hanging="360"/>
      </w:pPr>
    </w:lvl>
    <w:lvl w:ilvl="7" w:tplc="041F0019" w:tentative="1">
      <w:start w:val="1"/>
      <w:numFmt w:val="lowerLetter"/>
      <w:lvlText w:val="%8."/>
      <w:lvlJc w:val="left"/>
      <w:pPr>
        <w:ind w:left="6612" w:hanging="360"/>
      </w:pPr>
    </w:lvl>
    <w:lvl w:ilvl="8" w:tplc="041F001B" w:tentative="1">
      <w:start w:val="1"/>
      <w:numFmt w:val="lowerRoman"/>
      <w:lvlText w:val="%9."/>
      <w:lvlJc w:val="right"/>
      <w:pPr>
        <w:ind w:left="7332" w:hanging="180"/>
      </w:pPr>
    </w:lvl>
  </w:abstractNum>
  <w:abstractNum w:abstractNumId="19">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20">
    <w:nsid w:val="36FB0802"/>
    <w:multiLevelType w:val="hybridMultilevel"/>
    <w:tmpl w:val="B6FA4E70"/>
    <w:lvl w:ilvl="0" w:tplc="21F636B8">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86371B1"/>
    <w:multiLevelType w:val="hybridMultilevel"/>
    <w:tmpl w:val="1A4C4AB0"/>
    <w:lvl w:ilvl="0" w:tplc="CC904D12">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3B520BF3"/>
    <w:multiLevelType w:val="hybridMultilevel"/>
    <w:tmpl w:val="1C3EC782"/>
    <w:lvl w:ilvl="0" w:tplc="E46C87F6">
      <w:start w:val="5"/>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BDF22B8"/>
    <w:multiLevelType w:val="hybridMultilevel"/>
    <w:tmpl w:val="C756B058"/>
    <w:lvl w:ilvl="0" w:tplc="CFE87AF2">
      <w:start w:val="1"/>
      <w:numFmt w:val="upperRoman"/>
      <w:lvlText w:val="%1-"/>
      <w:lvlJc w:val="left"/>
      <w:pPr>
        <w:ind w:left="1980" w:hanging="720"/>
      </w:pPr>
      <w:rPr>
        <w:rFonts w:hint="default"/>
      </w:rPr>
    </w:lvl>
    <w:lvl w:ilvl="1" w:tplc="041F0019" w:tentative="1">
      <w:start w:val="1"/>
      <w:numFmt w:val="lowerLetter"/>
      <w:lvlText w:val="%2."/>
      <w:lvlJc w:val="left"/>
      <w:pPr>
        <w:ind w:left="2340" w:hanging="360"/>
      </w:pPr>
    </w:lvl>
    <w:lvl w:ilvl="2" w:tplc="041F001B" w:tentative="1">
      <w:start w:val="1"/>
      <w:numFmt w:val="lowerRoman"/>
      <w:lvlText w:val="%3."/>
      <w:lvlJc w:val="right"/>
      <w:pPr>
        <w:ind w:left="3060" w:hanging="180"/>
      </w:pPr>
    </w:lvl>
    <w:lvl w:ilvl="3" w:tplc="041F000F" w:tentative="1">
      <w:start w:val="1"/>
      <w:numFmt w:val="decimal"/>
      <w:lvlText w:val="%4."/>
      <w:lvlJc w:val="left"/>
      <w:pPr>
        <w:ind w:left="3780" w:hanging="360"/>
      </w:pPr>
    </w:lvl>
    <w:lvl w:ilvl="4" w:tplc="041F0019" w:tentative="1">
      <w:start w:val="1"/>
      <w:numFmt w:val="lowerLetter"/>
      <w:lvlText w:val="%5."/>
      <w:lvlJc w:val="left"/>
      <w:pPr>
        <w:ind w:left="4500" w:hanging="360"/>
      </w:pPr>
    </w:lvl>
    <w:lvl w:ilvl="5" w:tplc="041F001B" w:tentative="1">
      <w:start w:val="1"/>
      <w:numFmt w:val="lowerRoman"/>
      <w:lvlText w:val="%6."/>
      <w:lvlJc w:val="right"/>
      <w:pPr>
        <w:ind w:left="5220" w:hanging="180"/>
      </w:pPr>
    </w:lvl>
    <w:lvl w:ilvl="6" w:tplc="041F000F" w:tentative="1">
      <w:start w:val="1"/>
      <w:numFmt w:val="decimal"/>
      <w:lvlText w:val="%7."/>
      <w:lvlJc w:val="left"/>
      <w:pPr>
        <w:ind w:left="5940" w:hanging="360"/>
      </w:pPr>
    </w:lvl>
    <w:lvl w:ilvl="7" w:tplc="041F0019" w:tentative="1">
      <w:start w:val="1"/>
      <w:numFmt w:val="lowerLetter"/>
      <w:lvlText w:val="%8."/>
      <w:lvlJc w:val="left"/>
      <w:pPr>
        <w:ind w:left="6660" w:hanging="360"/>
      </w:pPr>
    </w:lvl>
    <w:lvl w:ilvl="8" w:tplc="041F001B" w:tentative="1">
      <w:start w:val="1"/>
      <w:numFmt w:val="lowerRoman"/>
      <w:lvlText w:val="%9."/>
      <w:lvlJc w:val="right"/>
      <w:pPr>
        <w:ind w:left="7380" w:hanging="180"/>
      </w:pPr>
    </w:lvl>
  </w:abstractNum>
  <w:abstractNum w:abstractNumId="24">
    <w:nsid w:val="4160349F"/>
    <w:multiLevelType w:val="hybridMultilevel"/>
    <w:tmpl w:val="123863BE"/>
    <w:lvl w:ilvl="0" w:tplc="1E3ADBDC">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6DF27E5"/>
    <w:multiLevelType w:val="hybridMultilevel"/>
    <w:tmpl w:val="F2E02DF4"/>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264295"/>
    <w:multiLevelType w:val="hybridMultilevel"/>
    <w:tmpl w:val="BDE4669C"/>
    <w:lvl w:ilvl="0" w:tplc="0348644E">
      <w:start w:val="1"/>
      <w:numFmt w:val="lowerLetter"/>
      <w:lvlText w:val="%1)"/>
      <w:lvlJc w:val="left"/>
      <w:pPr>
        <w:ind w:left="930" w:hanging="360"/>
      </w:pPr>
      <w:rPr>
        <w:rFonts w:hint="default"/>
        <w:b w:val="0"/>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7">
    <w:nsid w:val="47FB3D57"/>
    <w:multiLevelType w:val="hybridMultilevel"/>
    <w:tmpl w:val="7BC6C070"/>
    <w:lvl w:ilvl="0" w:tplc="6BA63CAA">
      <w:start w:val="1"/>
      <w:numFmt w:val="upperRoman"/>
      <w:lvlText w:val="%1-"/>
      <w:lvlJc w:val="left"/>
      <w:pPr>
        <w:tabs>
          <w:tab w:val="num" w:pos="720"/>
        </w:tabs>
        <w:ind w:left="720" w:hanging="720"/>
      </w:pPr>
      <w:rPr>
        <w:rFonts w:cs="Times New Roman" w:hint="default"/>
        <w:b/>
        <w:bCs/>
      </w:rPr>
    </w:lvl>
    <w:lvl w:ilvl="1" w:tplc="CE8EC2DC" w:tentative="1">
      <w:start w:val="1"/>
      <w:numFmt w:val="lowerLetter"/>
      <w:lvlText w:val="%2."/>
      <w:lvlJc w:val="left"/>
      <w:pPr>
        <w:tabs>
          <w:tab w:val="num" w:pos="1080"/>
        </w:tabs>
        <w:ind w:left="1080" w:hanging="360"/>
      </w:pPr>
      <w:rPr>
        <w:rFonts w:cs="Times New Roman"/>
      </w:rPr>
    </w:lvl>
    <w:lvl w:ilvl="2" w:tplc="20F811BE" w:tentative="1">
      <w:start w:val="1"/>
      <w:numFmt w:val="lowerRoman"/>
      <w:lvlText w:val="%3."/>
      <w:lvlJc w:val="right"/>
      <w:pPr>
        <w:tabs>
          <w:tab w:val="num" w:pos="1800"/>
        </w:tabs>
        <w:ind w:left="1800" w:hanging="180"/>
      </w:pPr>
      <w:rPr>
        <w:rFonts w:cs="Times New Roman"/>
      </w:rPr>
    </w:lvl>
    <w:lvl w:ilvl="3" w:tplc="25BE3C9C" w:tentative="1">
      <w:start w:val="1"/>
      <w:numFmt w:val="decimal"/>
      <w:lvlText w:val="%4."/>
      <w:lvlJc w:val="left"/>
      <w:pPr>
        <w:tabs>
          <w:tab w:val="num" w:pos="2520"/>
        </w:tabs>
        <w:ind w:left="2520" w:hanging="360"/>
      </w:pPr>
      <w:rPr>
        <w:rFonts w:cs="Times New Roman"/>
      </w:rPr>
    </w:lvl>
    <w:lvl w:ilvl="4" w:tplc="8C7049C4" w:tentative="1">
      <w:start w:val="1"/>
      <w:numFmt w:val="lowerLetter"/>
      <w:lvlText w:val="%5."/>
      <w:lvlJc w:val="left"/>
      <w:pPr>
        <w:tabs>
          <w:tab w:val="num" w:pos="3240"/>
        </w:tabs>
        <w:ind w:left="3240" w:hanging="360"/>
      </w:pPr>
      <w:rPr>
        <w:rFonts w:cs="Times New Roman"/>
      </w:rPr>
    </w:lvl>
    <w:lvl w:ilvl="5" w:tplc="547A5242" w:tentative="1">
      <w:start w:val="1"/>
      <w:numFmt w:val="lowerRoman"/>
      <w:lvlText w:val="%6."/>
      <w:lvlJc w:val="right"/>
      <w:pPr>
        <w:tabs>
          <w:tab w:val="num" w:pos="3960"/>
        </w:tabs>
        <w:ind w:left="3960" w:hanging="180"/>
      </w:pPr>
      <w:rPr>
        <w:rFonts w:cs="Times New Roman"/>
      </w:rPr>
    </w:lvl>
    <w:lvl w:ilvl="6" w:tplc="3EA82C92" w:tentative="1">
      <w:start w:val="1"/>
      <w:numFmt w:val="decimal"/>
      <w:lvlText w:val="%7."/>
      <w:lvlJc w:val="left"/>
      <w:pPr>
        <w:tabs>
          <w:tab w:val="num" w:pos="4680"/>
        </w:tabs>
        <w:ind w:left="4680" w:hanging="360"/>
      </w:pPr>
      <w:rPr>
        <w:rFonts w:cs="Times New Roman"/>
      </w:rPr>
    </w:lvl>
    <w:lvl w:ilvl="7" w:tplc="4F107338" w:tentative="1">
      <w:start w:val="1"/>
      <w:numFmt w:val="lowerLetter"/>
      <w:lvlText w:val="%8."/>
      <w:lvlJc w:val="left"/>
      <w:pPr>
        <w:tabs>
          <w:tab w:val="num" w:pos="5400"/>
        </w:tabs>
        <w:ind w:left="5400" w:hanging="360"/>
      </w:pPr>
      <w:rPr>
        <w:rFonts w:cs="Times New Roman"/>
      </w:rPr>
    </w:lvl>
    <w:lvl w:ilvl="8" w:tplc="B100C610" w:tentative="1">
      <w:start w:val="1"/>
      <w:numFmt w:val="lowerRoman"/>
      <w:lvlText w:val="%9."/>
      <w:lvlJc w:val="right"/>
      <w:pPr>
        <w:tabs>
          <w:tab w:val="num" w:pos="6120"/>
        </w:tabs>
        <w:ind w:left="6120" w:hanging="180"/>
      </w:pPr>
      <w:rPr>
        <w:rFonts w:cs="Times New Roman"/>
      </w:rPr>
    </w:lvl>
  </w:abstractNum>
  <w:abstractNum w:abstractNumId="28">
    <w:nsid w:val="4BCA37DB"/>
    <w:multiLevelType w:val="hybridMultilevel"/>
    <w:tmpl w:val="61FEB174"/>
    <w:lvl w:ilvl="0" w:tplc="0A1E8E76">
      <w:start w:val="1"/>
      <w:numFmt w:val="upperRoman"/>
      <w:lvlText w:val="%1-"/>
      <w:lvlJc w:val="left"/>
      <w:pPr>
        <w:tabs>
          <w:tab w:val="num" w:pos="720"/>
        </w:tabs>
        <w:ind w:left="720" w:hanging="720"/>
      </w:pPr>
      <w:rPr>
        <w:rFonts w:cs="Times New Roman" w:hint="default"/>
        <w:b/>
        <w:bCs/>
      </w:rPr>
    </w:lvl>
    <w:lvl w:ilvl="1" w:tplc="C08C60B8" w:tentative="1">
      <w:start w:val="1"/>
      <w:numFmt w:val="lowerLetter"/>
      <w:lvlText w:val="%2."/>
      <w:lvlJc w:val="left"/>
      <w:pPr>
        <w:tabs>
          <w:tab w:val="num" w:pos="1440"/>
        </w:tabs>
        <w:ind w:left="1440" w:hanging="360"/>
      </w:pPr>
      <w:rPr>
        <w:rFonts w:cs="Times New Roman"/>
      </w:rPr>
    </w:lvl>
    <w:lvl w:ilvl="2" w:tplc="099261FC" w:tentative="1">
      <w:start w:val="1"/>
      <w:numFmt w:val="lowerRoman"/>
      <w:lvlText w:val="%3."/>
      <w:lvlJc w:val="right"/>
      <w:pPr>
        <w:tabs>
          <w:tab w:val="num" w:pos="2160"/>
        </w:tabs>
        <w:ind w:left="2160" w:hanging="180"/>
      </w:pPr>
      <w:rPr>
        <w:rFonts w:cs="Times New Roman"/>
      </w:rPr>
    </w:lvl>
    <w:lvl w:ilvl="3" w:tplc="8314FA50" w:tentative="1">
      <w:start w:val="1"/>
      <w:numFmt w:val="decimal"/>
      <w:lvlText w:val="%4."/>
      <w:lvlJc w:val="left"/>
      <w:pPr>
        <w:tabs>
          <w:tab w:val="num" w:pos="2880"/>
        </w:tabs>
        <w:ind w:left="2880" w:hanging="360"/>
      </w:pPr>
      <w:rPr>
        <w:rFonts w:cs="Times New Roman"/>
      </w:rPr>
    </w:lvl>
    <w:lvl w:ilvl="4" w:tplc="7B76D6F4" w:tentative="1">
      <w:start w:val="1"/>
      <w:numFmt w:val="lowerLetter"/>
      <w:lvlText w:val="%5."/>
      <w:lvlJc w:val="left"/>
      <w:pPr>
        <w:tabs>
          <w:tab w:val="num" w:pos="3600"/>
        </w:tabs>
        <w:ind w:left="3600" w:hanging="360"/>
      </w:pPr>
      <w:rPr>
        <w:rFonts w:cs="Times New Roman"/>
      </w:rPr>
    </w:lvl>
    <w:lvl w:ilvl="5" w:tplc="E198477E" w:tentative="1">
      <w:start w:val="1"/>
      <w:numFmt w:val="lowerRoman"/>
      <w:lvlText w:val="%6."/>
      <w:lvlJc w:val="right"/>
      <w:pPr>
        <w:tabs>
          <w:tab w:val="num" w:pos="4320"/>
        </w:tabs>
        <w:ind w:left="4320" w:hanging="180"/>
      </w:pPr>
      <w:rPr>
        <w:rFonts w:cs="Times New Roman"/>
      </w:rPr>
    </w:lvl>
    <w:lvl w:ilvl="6" w:tplc="118C771C" w:tentative="1">
      <w:start w:val="1"/>
      <w:numFmt w:val="decimal"/>
      <w:lvlText w:val="%7."/>
      <w:lvlJc w:val="left"/>
      <w:pPr>
        <w:tabs>
          <w:tab w:val="num" w:pos="5040"/>
        </w:tabs>
        <w:ind w:left="5040" w:hanging="360"/>
      </w:pPr>
      <w:rPr>
        <w:rFonts w:cs="Times New Roman"/>
      </w:rPr>
    </w:lvl>
    <w:lvl w:ilvl="7" w:tplc="EC3A1F48" w:tentative="1">
      <w:start w:val="1"/>
      <w:numFmt w:val="lowerLetter"/>
      <w:lvlText w:val="%8."/>
      <w:lvlJc w:val="left"/>
      <w:pPr>
        <w:tabs>
          <w:tab w:val="num" w:pos="5760"/>
        </w:tabs>
        <w:ind w:left="5760" w:hanging="360"/>
      </w:pPr>
      <w:rPr>
        <w:rFonts w:cs="Times New Roman"/>
      </w:rPr>
    </w:lvl>
    <w:lvl w:ilvl="8" w:tplc="54A6BBC6" w:tentative="1">
      <w:start w:val="1"/>
      <w:numFmt w:val="lowerRoman"/>
      <w:lvlText w:val="%9."/>
      <w:lvlJc w:val="right"/>
      <w:pPr>
        <w:tabs>
          <w:tab w:val="num" w:pos="6480"/>
        </w:tabs>
        <w:ind w:left="6480" w:hanging="180"/>
      </w:pPr>
      <w:rPr>
        <w:rFonts w:cs="Times New Roman"/>
      </w:rPr>
    </w:lvl>
  </w:abstractNum>
  <w:abstractNum w:abstractNumId="29">
    <w:nsid w:val="597B10D2"/>
    <w:multiLevelType w:val="hybridMultilevel"/>
    <w:tmpl w:val="DEA27842"/>
    <w:lvl w:ilvl="0" w:tplc="B95ECB9C">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C3C41C6"/>
    <w:multiLevelType w:val="hybridMultilevel"/>
    <w:tmpl w:val="A114EF58"/>
    <w:lvl w:ilvl="0" w:tplc="16C27D62">
      <w:start w:val="1"/>
      <w:numFmt w:val="upperRoman"/>
      <w:lvlText w:val="%1-"/>
      <w:lvlJc w:val="left"/>
      <w:pPr>
        <w:tabs>
          <w:tab w:val="num" w:pos="1571"/>
        </w:tabs>
        <w:ind w:left="1571" w:hanging="720"/>
      </w:pPr>
      <w:rPr>
        <w:rFonts w:cs="Times New Roman" w:hint="default"/>
        <w:b/>
        <w:bCs/>
      </w:rPr>
    </w:lvl>
    <w:lvl w:ilvl="1" w:tplc="85E65608" w:tentative="1">
      <w:start w:val="1"/>
      <w:numFmt w:val="lowerLetter"/>
      <w:lvlText w:val="%2."/>
      <w:lvlJc w:val="left"/>
      <w:pPr>
        <w:tabs>
          <w:tab w:val="num" w:pos="1440"/>
        </w:tabs>
        <w:ind w:left="1440" w:hanging="360"/>
      </w:pPr>
      <w:rPr>
        <w:rFonts w:cs="Times New Roman"/>
      </w:rPr>
    </w:lvl>
    <w:lvl w:ilvl="2" w:tplc="062AC792" w:tentative="1">
      <w:start w:val="1"/>
      <w:numFmt w:val="lowerRoman"/>
      <w:lvlText w:val="%3."/>
      <w:lvlJc w:val="right"/>
      <w:pPr>
        <w:tabs>
          <w:tab w:val="num" w:pos="2160"/>
        </w:tabs>
        <w:ind w:left="2160" w:hanging="180"/>
      </w:pPr>
      <w:rPr>
        <w:rFonts w:cs="Times New Roman"/>
      </w:rPr>
    </w:lvl>
    <w:lvl w:ilvl="3" w:tplc="AAA63816" w:tentative="1">
      <w:start w:val="1"/>
      <w:numFmt w:val="decimal"/>
      <w:lvlText w:val="%4."/>
      <w:lvlJc w:val="left"/>
      <w:pPr>
        <w:tabs>
          <w:tab w:val="num" w:pos="2880"/>
        </w:tabs>
        <w:ind w:left="2880" w:hanging="360"/>
      </w:pPr>
      <w:rPr>
        <w:rFonts w:cs="Times New Roman"/>
      </w:rPr>
    </w:lvl>
    <w:lvl w:ilvl="4" w:tplc="1A5EDD1C" w:tentative="1">
      <w:start w:val="1"/>
      <w:numFmt w:val="lowerLetter"/>
      <w:lvlText w:val="%5."/>
      <w:lvlJc w:val="left"/>
      <w:pPr>
        <w:tabs>
          <w:tab w:val="num" w:pos="3600"/>
        </w:tabs>
        <w:ind w:left="3600" w:hanging="360"/>
      </w:pPr>
      <w:rPr>
        <w:rFonts w:cs="Times New Roman"/>
      </w:rPr>
    </w:lvl>
    <w:lvl w:ilvl="5" w:tplc="137AB000" w:tentative="1">
      <w:start w:val="1"/>
      <w:numFmt w:val="lowerRoman"/>
      <w:lvlText w:val="%6."/>
      <w:lvlJc w:val="right"/>
      <w:pPr>
        <w:tabs>
          <w:tab w:val="num" w:pos="4320"/>
        </w:tabs>
        <w:ind w:left="4320" w:hanging="180"/>
      </w:pPr>
      <w:rPr>
        <w:rFonts w:cs="Times New Roman"/>
      </w:rPr>
    </w:lvl>
    <w:lvl w:ilvl="6" w:tplc="7692647A" w:tentative="1">
      <w:start w:val="1"/>
      <w:numFmt w:val="decimal"/>
      <w:lvlText w:val="%7."/>
      <w:lvlJc w:val="left"/>
      <w:pPr>
        <w:tabs>
          <w:tab w:val="num" w:pos="5040"/>
        </w:tabs>
        <w:ind w:left="5040" w:hanging="360"/>
      </w:pPr>
      <w:rPr>
        <w:rFonts w:cs="Times New Roman"/>
      </w:rPr>
    </w:lvl>
    <w:lvl w:ilvl="7" w:tplc="1DB8790C" w:tentative="1">
      <w:start w:val="1"/>
      <w:numFmt w:val="lowerLetter"/>
      <w:lvlText w:val="%8."/>
      <w:lvlJc w:val="left"/>
      <w:pPr>
        <w:tabs>
          <w:tab w:val="num" w:pos="5760"/>
        </w:tabs>
        <w:ind w:left="5760" w:hanging="360"/>
      </w:pPr>
      <w:rPr>
        <w:rFonts w:cs="Times New Roman"/>
      </w:rPr>
    </w:lvl>
    <w:lvl w:ilvl="8" w:tplc="4184DB84" w:tentative="1">
      <w:start w:val="1"/>
      <w:numFmt w:val="lowerRoman"/>
      <w:lvlText w:val="%9."/>
      <w:lvlJc w:val="right"/>
      <w:pPr>
        <w:tabs>
          <w:tab w:val="num" w:pos="6480"/>
        </w:tabs>
        <w:ind w:left="6480" w:hanging="180"/>
      </w:pPr>
      <w:rPr>
        <w:rFonts w:cs="Times New Roman"/>
      </w:rPr>
    </w:lvl>
  </w:abstractNum>
  <w:abstractNum w:abstractNumId="31">
    <w:nsid w:val="62150505"/>
    <w:multiLevelType w:val="hybridMultilevel"/>
    <w:tmpl w:val="3CF0223A"/>
    <w:lvl w:ilvl="0" w:tplc="ECFADDAA">
      <w:start w:val="1"/>
      <w:numFmt w:val="lowerLetter"/>
      <w:lvlText w:val="%1)"/>
      <w:lvlJc w:val="left"/>
      <w:pPr>
        <w:tabs>
          <w:tab w:val="num" w:pos="1407"/>
        </w:tabs>
        <w:ind w:left="1407" w:hanging="360"/>
      </w:pPr>
      <w:rPr>
        <w:rFonts w:cs="Times New Roman" w:hint="default"/>
        <w:b/>
        <w:bCs/>
      </w:rPr>
    </w:lvl>
    <w:lvl w:ilvl="1" w:tplc="041F0019" w:tentative="1">
      <w:start w:val="1"/>
      <w:numFmt w:val="lowerLetter"/>
      <w:lvlText w:val="%2."/>
      <w:lvlJc w:val="left"/>
      <w:pPr>
        <w:tabs>
          <w:tab w:val="num" w:pos="2127"/>
        </w:tabs>
        <w:ind w:left="2127" w:hanging="360"/>
      </w:pPr>
      <w:rPr>
        <w:rFonts w:cs="Times New Roman"/>
      </w:rPr>
    </w:lvl>
    <w:lvl w:ilvl="2" w:tplc="041F001B" w:tentative="1">
      <w:start w:val="1"/>
      <w:numFmt w:val="lowerRoman"/>
      <w:lvlText w:val="%3."/>
      <w:lvlJc w:val="right"/>
      <w:pPr>
        <w:tabs>
          <w:tab w:val="num" w:pos="2847"/>
        </w:tabs>
        <w:ind w:left="2847" w:hanging="180"/>
      </w:pPr>
      <w:rPr>
        <w:rFonts w:cs="Times New Roman"/>
      </w:rPr>
    </w:lvl>
    <w:lvl w:ilvl="3" w:tplc="041F000F" w:tentative="1">
      <w:start w:val="1"/>
      <w:numFmt w:val="decimal"/>
      <w:lvlText w:val="%4."/>
      <w:lvlJc w:val="left"/>
      <w:pPr>
        <w:tabs>
          <w:tab w:val="num" w:pos="3567"/>
        </w:tabs>
        <w:ind w:left="3567" w:hanging="360"/>
      </w:pPr>
      <w:rPr>
        <w:rFonts w:cs="Times New Roman"/>
      </w:rPr>
    </w:lvl>
    <w:lvl w:ilvl="4" w:tplc="041F0019" w:tentative="1">
      <w:start w:val="1"/>
      <w:numFmt w:val="lowerLetter"/>
      <w:lvlText w:val="%5."/>
      <w:lvlJc w:val="left"/>
      <w:pPr>
        <w:tabs>
          <w:tab w:val="num" w:pos="4287"/>
        </w:tabs>
        <w:ind w:left="4287" w:hanging="360"/>
      </w:pPr>
      <w:rPr>
        <w:rFonts w:cs="Times New Roman"/>
      </w:rPr>
    </w:lvl>
    <w:lvl w:ilvl="5" w:tplc="041F001B" w:tentative="1">
      <w:start w:val="1"/>
      <w:numFmt w:val="lowerRoman"/>
      <w:lvlText w:val="%6."/>
      <w:lvlJc w:val="right"/>
      <w:pPr>
        <w:tabs>
          <w:tab w:val="num" w:pos="5007"/>
        </w:tabs>
        <w:ind w:left="5007" w:hanging="180"/>
      </w:pPr>
      <w:rPr>
        <w:rFonts w:cs="Times New Roman"/>
      </w:rPr>
    </w:lvl>
    <w:lvl w:ilvl="6" w:tplc="041F000F" w:tentative="1">
      <w:start w:val="1"/>
      <w:numFmt w:val="decimal"/>
      <w:lvlText w:val="%7."/>
      <w:lvlJc w:val="left"/>
      <w:pPr>
        <w:tabs>
          <w:tab w:val="num" w:pos="5727"/>
        </w:tabs>
        <w:ind w:left="5727" w:hanging="360"/>
      </w:pPr>
      <w:rPr>
        <w:rFonts w:cs="Times New Roman"/>
      </w:rPr>
    </w:lvl>
    <w:lvl w:ilvl="7" w:tplc="041F0019" w:tentative="1">
      <w:start w:val="1"/>
      <w:numFmt w:val="lowerLetter"/>
      <w:lvlText w:val="%8."/>
      <w:lvlJc w:val="left"/>
      <w:pPr>
        <w:tabs>
          <w:tab w:val="num" w:pos="6447"/>
        </w:tabs>
        <w:ind w:left="6447" w:hanging="360"/>
      </w:pPr>
      <w:rPr>
        <w:rFonts w:cs="Times New Roman"/>
      </w:rPr>
    </w:lvl>
    <w:lvl w:ilvl="8" w:tplc="041F001B" w:tentative="1">
      <w:start w:val="1"/>
      <w:numFmt w:val="lowerRoman"/>
      <w:lvlText w:val="%9."/>
      <w:lvlJc w:val="right"/>
      <w:pPr>
        <w:tabs>
          <w:tab w:val="num" w:pos="7167"/>
        </w:tabs>
        <w:ind w:left="7167" w:hanging="180"/>
      </w:pPr>
      <w:rPr>
        <w:rFonts w:cs="Times New Roman"/>
      </w:rPr>
    </w:lvl>
  </w:abstractNum>
  <w:abstractNum w:abstractNumId="32">
    <w:nsid w:val="650B2C24"/>
    <w:multiLevelType w:val="hybridMultilevel"/>
    <w:tmpl w:val="D16E184A"/>
    <w:lvl w:ilvl="0" w:tplc="BD0AB084">
      <w:start w:val="2"/>
      <w:numFmt w:val="upperRoman"/>
      <w:lvlText w:val="%1-"/>
      <w:lvlJc w:val="left"/>
      <w:pPr>
        <w:tabs>
          <w:tab w:val="num" w:pos="720"/>
        </w:tabs>
        <w:ind w:left="720" w:hanging="720"/>
      </w:pPr>
      <w:rPr>
        <w:rFonts w:cs="Times New Roman" w:hint="default"/>
      </w:rPr>
    </w:lvl>
    <w:lvl w:ilvl="1" w:tplc="30081ECC" w:tentative="1">
      <w:start w:val="1"/>
      <w:numFmt w:val="lowerLetter"/>
      <w:lvlText w:val="%2."/>
      <w:lvlJc w:val="left"/>
      <w:pPr>
        <w:tabs>
          <w:tab w:val="num" w:pos="1080"/>
        </w:tabs>
        <w:ind w:left="1080" w:hanging="360"/>
      </w:pPr>
      <w:rPr>
        <w:rFonts w:cs="Times New Roman"/>
      </w:rPr>
    </w:lvl>
    <w:lvl w:ilvl="2" w:tplc="B8C03850" w:tentative="1">
      <w:start w:val="1"/>
      <w:numFmt w:val="lowerRoman"/>
      <w:lvlText w:val="%3."/>
      <w:lvlJc w:val="right"/>
      <w:pPr>
        <w:tabs>
          <w:tab w:val="num" w:pos="1800"/>
        </w:tabs>
        <w:ind w:left="1800" w:hanging="180"/>
      </w:pPr>
      <w:rPr>
        <w:rFonts w:cs="Times New Roman"/>
      </w:rPr>
    </w:lvl>
    <w:lvl w:ilvl="3" w:tplc="CD26D82A" w:tentative="1">
      <w:start w:val="1"/>
      <w:numFmt w:val="decimal"/>
      <w:lvlText w:val="%4."/>
      <w:lvlJc w:val="left"/>
      <w:pPr>
        <w:tabs>
          <w:tab w:val="num" w:pos="2520"/>
        </w:tabs>
        <w:ind w:left="2520" w:hanging="360"/>
      </w:pPr>
      <w:rPr>
        <w:rFonts w:cs="Times New Roman"/>
      </w:rPr>
    </w:lvl>
    <w:lvl w:ilvl="4" w:tplc="8356F87C" w:tentative="1">
      <w:start w:val="1"/>
      <w:numFmt w:val="lowerLetter"/>
      <w:lvlText w:val="%5."/>
      <w:lvlJc w:val="left"/>
      <w:pPr>
        <w:tabs>
          <w:tab w:val="num" w:pos="3240"/>
        </w:tabs>
        <w:ind w:left="3240" w:hanging="360"/>
      </w:pPr>
      <w:rPr>
        <w:rFonts w:cs="Times New Roman"/>
      </w:rPr>
    </w:lvl>
    <w:lvl w:ilvl="5" w:tplc="5AF4A500" w:tentative="1">
      <w:start w:val="1"/>
      <w:numFmt w:val="lowerRoman"/>
      <w:lvlText w:val="%6."/>
      <w:lvlJc w:val="right"/>
      <w:pPr>
        <w:tabs>
          <w:tab w:val="num" w:pos="3960"/>
        </w:tabs>
        <w:ind w:left="3960" w:hanging="180"/>
      </w:pPr>
      <w:rPr>
        <w:rFonts w:cs="Times New Roman"/>
      </w:rPr>
    </w:lvl>
    <w:lvl w:ilvl="6" w:tplc="A232E122" w:tentative="1">
      <w:start w:val="1"/>
      <w:numFmt w:val="decimal"/>
      <w:lvlText w:val="%7."/>
      <w:lvlJc w:val="left"/>
      <w:pPr>
        <w:tabs>
          <w:tab w:val="num" w:pos="4680"/>
        </w:tabs>
        <w:ind w:left="4680" w:hanging="360"/>
      </w:pPr>
      <w:rPr>
        <w:rFonts w:cs="Times New Roman"/>
      </w:rPr>
    </w:lvl>
    <w:lvl w:ilvl="7" w:tplc="858A80BA" w:tentative="1">
      <w:start w:val="1"/>
      <w:numFmt w:val="lowerLetter"/>
      <w:lvlText w:val="%8."/>
      <w:lvlJc w:val="left"/>
      <w:pPr>
        <w:tabs>
          <w:tab w:val="num" w:pos="5400"/>
        </w:tabs>
        <w:ind w:left="5400" w:hanging="360"/>
      </w:pPr>
      <w:rPr>
        <w:rFonts w:cs="Times New Roman"/>
      </w:rPr>
    </w:lvl>
    <w:lvl w:ilvl="8" w:tplc="EEB67D9C" w:tentative="1">
      <w:start w:val="1"/>
      <w:numFmt w:val="lowerRoman"/>
      <w:lvlText w:val="%9."/>
      <w:lvlJc w:val="right"/>
      <w:pPr>
        <w:tabs>
          <w:tab w:val="num" w:pos="6120"/>
        </w:tabs>
        <w:ind w:left="6120" w:hanging="180"/>
      </w:pPr>
      <w:rPr>
        <w:rFonts w:cs="Times New Roman"/>
      </w:rPr>
    </w:lvl>
  </w:abstractNum>
  <w:abstractNum w:abstractNumId="33">
    <w:nsid w:val="654D77D8"/>
    <w:multiLevelType w:val="hybridMultilevel"/>
    <w:tmpl w:val="4274CBCC"/>
    <w:lvl w:ilvl="0" w:tplc="3540513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F046B7"/>
    <w:multiLevelType w:val="hybridMultilevel"/>
    <w:tmpl w:val="011E4D8E"/>
    <w:lvl w:ilvl="0" w:tplc="5E043CE8">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70F7F49"/>
    <w:multiLevelType w:val="multilevel"/>
    <w:tmpl w:val="A63AA81A"/>
    <w:lvl w:ilvl="0">
      <w:start w:val="1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6">
    <w:nsid w:val="6AD6741C"/>
    <w:multiLevelType w:val="hybridMultilevel"/>
    <w:tmpl w:val="A63AA81A"/>
    <w:lvl w:ilvl="0" w:tplc="60F2837C">
      <w:start w:val="11"/>
      <w:numFmt w:val="decimal"/>
      <w:lvlText w:val="%1."/>
      <w:lvlJc w:val="left"/>
      <w:pPr>
        <w:tabs>
          <w:tab w:val="num" w:pos="927"/>
        </w:tabs>
        <w:ind w:left="927" w:hanging="360"/>
      </w:pPr>
      <w:rPr>
        <w:rFonts w:cs="Times New Roman" w:hint="default"/>
      </w:rPr>
    </w:lvl>
    <w:lvl w:ilvl="1" w:tplc="041F0019" w:tentative="1">
      <w:start w:val="1"/>
      <w:numFmt w:val="lowerLetter"/>
      <w:lvlText w:val="%2."/>
      <w:lvlJc w:val="left"/>
      <w:pPr>
        <w:tabs>
          <w:tab w:val="num" w:pos="1647"/>
        </w:tabs>
        <w:ind w:left="1647" w:hanging="360"/>
      </w:pPr>
      <w:rPr>
        <w:rFonts w:cs="Times New Roman"/>
      </w:rPr>
    </w:lvl>
    <w:lvl w:ilvl="2" w:tplc="041F001B" w:tentative="1">
      <w:start w:val="1"/>
      <w:numFmt w:val="lowerRoman"/>
      <w:lvlText w:val="%3."/>
      <w:lvlJc w:val="right"/>
      <w:pPr>
        <w:tabs>
          <w:tab w:val="num" w:pos="2367"/>
        </w:tabs>
        <w:ind w:left="2367" w:hanging="180"/>
      </w:pPr>
      <w:rPr>
        <w:rFonts w:cs="Times New Roman"/>
      </w:rPr>
    </w:lvl>
    <w:lvl w:ilvl="3" w:tplc="041F000F" w:tentative="1">
      <w:start w:val="1"/>
      <w:numFmt w:val="decimal"/>
      <w:lvlText w:val="%4."/>
      <w:lvlJc w:val="left"/>
      <w:pPr>
        <w:tabs>
          <w:tab w:val="num" w:pos="3087"/>
        </w:tabs>
        <w:ind w:left="3087" w:hanging="360"/>
      </w:pPr>
      <w:rPr>
        <w:rFonts w:cs="Times New Roman"/>
      </w:rPr>
    </w:lvl>
    <w:lvl w:ilvl="4" w:tplc="041F0019" w:tentative="1">
      <w:start w:val="1"/>
      <w:numFmt w:val="lowerLetter"/>
      <w:lvlText w:val="%5."/>
      <w:lvlJc w:val="left"/>
      <w:pPr>
        <w:tabs>
          <w:tab w:val="num" w:pos="3807"/>
        </w:tabs>
        <w:ind w:left="3807" w:hanging="360"/>
      </w:pPr>
      <w:rPr>
        <w:rFonts w:cs="Times New Roman"/>
      </w:rPr>
    </w:lvl>
    <w:lvl w:ilvl="5" w:tplc="041F001B" w:tentative="1">
      <w:start w:val="1"/>
      <w:numFmt w:val="lowerRoman"/>
      <w:lvlText w:val="%6."/>
      <w:lvlJc w:val="right"/>
      <w:pPr>
        <w:tabs>
          <w:tab w:val="num" w:pos="4527"/>
        </w:tabs>
        <w:ind w:left="4527" w:hanging="180"/>
      </w:pPr>
      <w:rPr>
        <w:rFonts w:cs="Times New Roman"/>
      </w:rPr>
    </w:lvl>
    <w:lvl w:ilvl="6" w:tplc="041F000F" w:tentative="1">
      <w:start w:val="1"/>
      <w:numFmt w:val="decimal"/>
      <w:lvlText w:val="%7."/>
      <w:lvlJc w:val="left"/>
      <w:pPr>
        <w:tabs>
          <w:tab w:val="num" w:pos="5247"/>
        </w:tabs>
        <w:ind w:left="5247" w:hanging="360"/>
      </w:pPr>
      <w:rPr>
        <w:rFonts w:cs="Times New Roman"/>
      </w:rPr>
    </w:lvl>
    <w:lvl w:ilvl="7" w:tplc="041F0019" w:tentative="1">
      <w:start w:val="1"/>
      <w:numFmt w:val="lowerLetter"/>
      <w:lvlText w:val="%8."/>
      <w:lvlJc w:val="left"/>
      <w:pPr>
        <w:tabs>
          <w:tab w:val="num" w:pos="5967"/>
        </w:tabs>
        <w:ind w:left="5967" w:hanging="360"/>
      </w:pPr>
      <w:rPr>
        <w:rFonts w:cs="Times New Roman"/>
      </w:rPr>
    </w:lvl>
    <w:lvl w:ilvl="8" w:tplc="041F001B" w:tentative="1">
      <w:start w:val="1"/>
      <w:numFmt w:val="lowerRoman"/>
      <w:lvlText w:val="%9."/>
      <w:lvlJc w:val="right"/>
      <w:pPr>
        <w:tabs>
          <w:tab w:val="num" w:pos="6687"/>
        </w:tabs>
        <w:ind w:left="6687" w:hanging="180"/>
      </w:pPr>
      <w:rPr>
        <w:rFonts w:cs="Times New Roman"/>
      </w:rPr>
    </w:lvl>
  </w:abstractNum>
  <w:abstractNum w:abstractNumId="37">
    <w:nsid w:val="6C4158E2"/>
    <w:multiLevelType w:val="hybridMultilevel"/>
    <w:tmpl w:val="A8AEAB4C"/>
    <w:lvl w:ilvl="0" w:tplc="EE6AF94A">
      <w:start w:val="1"/>
      <w:numFmt w:val="decimal"/>
      <w:lvlText w:val="(%1)"/>
      <w:lvlJc w:val="left"/>
      <w:pPr>
        <w:ind w:left="819" w:hanging="360"/>
      </w:pPr>
      <w:rPr>
        <w:rFonts w:hint="default"/>
        <w:sz w:val="18"/>
        <w:szCs w:val="18"/>
        <w:vertAlign w:val="superscript"/>
      </w:rPr>
    </w:lvl>
    <w:lvl w:ilvl="1" w:tplc="04090019">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8">
    <w:nsid w:val="6D867E05"/>
    <w:multiLevelType w:val="hybridMultilevel"/>
    <w:tmpl w:val="D3B42B70"/>
    <w:lvl w:ilvl="0" w:tplc="04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6FEF6F10"/>
    <w:multiLevelType w:val="hybridMultilevel"/>
    <w:tmpl w:val="BF6C2776"/>
    <w:lvl w:ilvl="0" w:tplc="F02C65AA">
      <w:start w:val="1"/>
      <w:numFmt w:val="upperRoman"/>
      <w:lvlText w:val="%1-"/>
      <w:lvlJc w:val="left"/>
      <w:pPr>
        <w:ind w:left="1080" w:hanging="72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2C368A7"/>
    <w:multiLevelType w:val="hybridMultilevel"/>
    <w:tmpl w:val="381CEDFE"/>
    <w:lvl w:ilvl="0" w:tplc="A0BE4284">
      <w:start w:val="10"/>
      <w:numFmt w:val="upperRoman"/>
      <w:lvlText w:val="%1-"/>
      <w:lvlJc w:val="left"/>
      <w:pPr>
        <w:tabs>
          <w:tab w:val="num" w:pos="765"/>
        </w:tabs>
        <w:ind w:left="765" w:hanging="720"/>
      </w:pPr>
      <w:rPr>
        <w:rFonts w:cs="Times New Roman" w:hint="default"/>
      </w:rPr>
    </w:lvl>
    <w:lvl w:ilvl="1" w:tplc="041F0019" w:tentative="1">
      <w:start w:val="1"/>
      <w:numFmt w:val="lowerLetter"/>
      <w:lvlText w:val="%2."/>
      <w:lvlJc w:val="left"/>
      <w:pPr>
        <w:tabs>
          <w:tab w:val="num" w:pos="1125"/>
        </w:tabs>
        <w:ind w:left="1125" w:hanging="360"/>
      </w:pPr>
      <w:rPr>
        <w:rFonts w:cs="Times New Roman"/>
      </w:rPr>
    </w:lvl>
    <w:lvl w:ilvl="2" w:tplc="041F001B" w:tentative="1">
      <w:start w:val="1"/>
      <w:numFmt w:val="lowerRoman"/>
      <w:lvlText w:val="%3."/>
      <w:lvlJc w:val="right"/>
      <w:pPr>
        <w:tabs>
          <w:tab w:val="num" w:pos="1845"/>
        </w:tabs>
        <w:ind w:left="1845" w:hanging="180"/>
      </w:pPr>
      <w:rPr>
        <w:rFonts w:cs="Times New Roman"/>
      </w:rPr>
    </w:lvl>
    <w:lvl w:ilvl="3" w:tplc="041F000F" w:tentative="1">
      <w:start w:val="1"/>
      <w:numFmt w:val="decimal"/>
      <w:lvlText w:val="%4."/>
      <w:lvlJc w:val="left"/>
      <w:pPr>
        <w:tabs>
          <w:tab w:val="num" w:pos="2565"/>
        </w:tabs>
        <w:ind w:left="2565" w:hanging="360"/>
      </w:pPr>
      <w:rPr>
        <w:rFonts w:cs="Times New Roman"/>
      </w:rPr>
    </w:lvl>
    <w:lvl w:ilvl="4" w:tplc="041F0019" w:tentative="1">
      <w:start w:val="1"/>
      <w:numFmt w:val="lowerLetter"/>
      <w:lvlText w:val="%5."/>
      <w:lvlJc w:val="left"/>
      <w:pPr>
        <w:tabs>
          <w:tab w:val="num" w:pos="3285"/>
        </w:tabs>
        <w:ind w:left="3285" w:hanging="360"/>
      </w:pPr>
      <w:rPr>
        <w:rFonts w:cs="Times New Roman"/>
      </w:rPr>
    </w:lvl>
    <w:lvl w:ilvl="5" w:tplc="041F001B" w:tentative="1">
      <w:start w:val="1"/>
      <w:numFmt w:val="lowerRoman"/>
      <w:lvlText w:val="%6."/>
      <w:lvlJc w:val="right"/>
      <w:pPr>
        <w:tabs>
          <w:tab w:val="num" w:pos="4005"/>
        </w:tabs>
        <w:ind w:left="4005" w:hanging="180"/>
      </w:pPr>
      <w:rPr>
        <w:rFonts w:cs="Times New Roman"/>
      </w:rPr>
    </w:lvl>
    <w:lvl w:ilvl="6" w:tplc="041F000F" w:tentative="1">
      <w:start w:val="1"/>
      <w:numFmt w:val="decimal"/>
      <w:lvlText w:val="%7."/>
      <w:lvlJc w:val="left"/>
      <w:pPr>
        <w:tabs>
          <w:tab w:val="num" w:pos="4725"/>
        </w:tabs>
        <w:ind w:left="4725" w:hanging="360"/>
      </w:pPr>
      <w:rPr>
        <w:rFonts w:cs="Times New Roman"/>
      </w:rPr>
    </w:lvl>
    <w:lvl w:ilvl="7" w:tplc="041F0019" w:tentative="1">
      <w:start w:val="1"/>
      <w:numFmt w:val="lowerLetter"/>
      <w:lvlText w:val="%8."/>
      <w:lvlJc w:val="left"/>
      <w:pPr>
        <w:tabs>
          <w:tab w:val="num" w:pos="5445"/>
        </w:tabs>
        <w:ind w:left="5445" w:hanging="360"/>
      </w:pPr>
      <w:rPr>
        <w:rFonts w:cs="Times New Roman"/>
      </w:rPr>
    </w:lvl>
    <w:lvl w:ilvl="8" w:tplc="041F001B" w:tentative="1">
      <w:start w:val="1"/>
      <w:numFmt w:val="lowerRoman"/>
      <w:lvlText w:val="%9."/>
      <w:lvlJc w:val="right"/>
      <w:pPr>
        <w:tabs>
          <w:tab w:val="num" w:pos="6165"/>
        </w:tabs>
        <w:ind w:left="6165" w:hanging="180"/>
      </w:pPr>
      <w:rPr>
        <w:rFonts w:cs="Times New Roman"/>
      </w:rPr>
    </w:lvl>
  </w:abstractNum>
  <w:abstractNum w:abstractNumId="41">
    <w:nsid w:val="76B3795F"/>
    <w:multiLevelType w:val="multilevel"/>
    <w:tmpl w:val="4D4E0462"/>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9981DA3"/>
    <w:multiLevelType w:val="hybridMultilevel"/>
    <w:tmpl w:val="5BEC0226"/>
    <w:lvl w:ilvl="0" w:tplc="B9D81286">
      <w:start w:val="6"/>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7BCB5EA9"/>
    <w:multiLevelType w:val="multilevel"/>
    <w:tmpl w:val="80DCDDC6"/>
    <w:lvl w:ilvl="0">
      <w:start w:val="7"/>
      <w:numFmt w:val="decimal"/>
      <w:lvlText w:val="%1"/>
      <w:lvlJc w:val="left"/>
      <w:pPr>
        <w:ind w:left="405" w:hanging="405"/>
      </w:pPr>
      <w:rPr>
        <w:rFonts w:hint="default"/>
      </w:rPr>
    </w:lvl>
    <w:lvl w:ilvl="1">
      <w:start w:val="50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D0C1277"/>
    <w:multiLevelType w:val="hybridMultilevel"/>
    <w:tmpl w:val="A4C6CB3E"/>
    <w:lvl w:ilvl="0" w:tplc="13C25CBE">
      <w:start w:val="1"/>
      <w:numFmt w:val="upperRoman"/>
      <w:lvlText w:val="%1-"/>
      <w:lvlJc w:val="left"/>
      <w:pPr>
        <w:tabs>
          <w:tab w:val="num" w:pos="1288"/>
        </w:tabs>
        <w:ind w:left="1288" w:hanging="720"/>
      </w:pPr>
      <w:rPr>
        <w:rFonts w:cs="Times New Roman" w:hint="default"/>
        <w:b/>
        <w:bCs/>
      </w:rPr>
    </w:lvl>
    <w:lvl w:ilvl="1" w:tplc="82546B4A" w:tentative="1">
      <w:start w:val="1"/>
      <w:numFmt w:val="lowerLetter"/>
      <w:lvlText w:val="%2."/>
      <w:lvlJc w:val="left"/>
      <w:pPr>
        <w:tabs>
          <w:tab w:val="num" w:pos="1440"/>
        </w:tabs>
        <w:ind w:left="1440" w:hanging="360"/>
      </w:pPr>
      <w:rPr>
        <w:rFonts w:cs="Times New Roman"/>
      </w:rPr>
    </w:lvl>
    <w:lvl w:ilvl="2" w:tplc="5818227C" w:tentative="1">
      <w:start w:val="1"/>
      <w:numFmt w:val="lowerRoman"/>
      <w:lvlText w:val="%3."/>
      <w:lvlJc w:val="right"/>
      <w:pPr>
        <w:tabs>
          <w:tab w:val="num" w:pos="2160"/>
        </w:tabs>
        <w:ind w:left="2160" w:hanging="180"/>
      </w:pPr>
      <w:rPr>
        <w:rFonts w:cs="Times New Roman"/>
      </w:rPr>
    </w:lvl>
    <w:lvl w:ilvl="3" w:tplc="6E80C2E8" w:tentative="1">
      <w:start w:val="1"/>
      <w:numFmt w:val="decimal"/>
      <w:lvlText w:val="%4."/>
      <w:lvlJc w:val="left"/>
      <w:pPr>
        <w:tabs>
          <w:tab w:val="num" w:pos="2880"/>
        </w:tabs>
        <w:ind w:left="2880" w:hanging="360"/>
      </w:pPr>
      <w:rPr>
        <w:rFonts w:cs="Times New Roman"/>
      </w:rPr>
    </w:lvl>
    <w:lvl w:ilvl="4" w:tplc="C2BC42F2" w:tentative="1">
      <w:start w:val="1"/>
      <w:numFmt w:val="lowerLetter"/>
      <w:lvlText w:val="%5."/>
      <w:lvlJc w:val="left"/>
      <w:pPr>
        <w:tabs>
          <w:tab w:val="num" w:pos="3600"/>
        </w:tabs>
        <w:ind w:left="3600" w:hanging="360"/>
      </w:pPr>
      <w:rPr>
        <w:rFonts w:cs="Times New Roman"/>
      </w:rPr>
    </w:lvl>
    <w:lvl w:ilvl="5" w:tplc="CE121896" w:tentative="1">
      <w:start w:val="1"/>
      <w:numFmt w:val="lowerRoman"/>
      <w:lvlText w:val="%6."/>
      <w:lvlJc w:val="right"/>
      <w:pPr>
        <w:tabs>
          <w:tab w:val="num" w:pos="4320"/>
        </w:tabs>
        <w:ind w:left="4320" w:hanging="180"/>
      </w:pPr>
      <w:rPr>
        <w:rFonts w:cs="Times New Roman"/>
      </w:rPr>
    </w:lvl>
    <w:lvl w:ilvl="6" w:tplc="9BB85784" w:tentative="1">
      <w:start w:val="1"/>
      <w:numFmt w:val="decimal"/>
      <w:lvlText w:val="%7."/>
      <w:lvlJc w:val="left"/>
      <w:pPr>
        <w:tabs>
          <w:tab w:val="num" w:pos="5040"/>
        </w:tabs>
        <w:ind w:left="5040" w:hanging="360"/>
      </w:pPr>
      <w:rPr>
        <w:rFonts w:cs="Times New Roman"/>
      </w:rPr>
    </w:lvl>
    <w:lvl w:ilvl="7" w:tplc="CA7CA61E" w:tentative="1">
      <w:start w:val="1"/>
      <w:numFmt w:val="lowerLetter"/>
      <w:lvlText w:val="%8."/>
      <w:lvlJc w:val="left"/>
      <w:pPr>
        <w:tabs>
          <w:tab w:val="num" w:pos="5760"/>
        </w:tabs>
        <w:ind w:left="5760" w:hanging="360"/>
      </w:pPr>
      <w:rPr>
        <w:rFonts w:cs="Times New Roman"/>
      </w:rPr>
    </w:lvl>
    <w:lvl w:ilvl="8" w:tplc="81226238" w:tentative="1">
      <w:start w:val="1"/>
      <w:numFmt w:val="lowerRoman"/>
      <w:lvlText w:val="%9."/>
      <w:lvlJc w:val="right"/>
      <w:pPr>
        <w:tabs>
          <w:tab w:val="num" w:pos="6480"/>
        </w:tabs>
        <w:ind w:left="6480" w:hanging="180"/>
      </w:pPr>
      <w:rPr>
        <w:rFonts w:cs="Times New Roman"/>
      </w:rPr>
    </w:lvl>
  </w:abstractNum>
  <w:num w:numId="1">
    <w:abstractNumId w:val="32"/>
  </w:num>
  <w:num w:numId="2">
    <w:abstractNumId w:val="27"/>
  </w:num>
  <w:num w:numId="3">
    <w:abstractNumId w:val="2"/>
  </w:num>
  <w:num w:numId="4">
    <w:abstractNumId w:val="0"/>
  </w:num>
  <w:num w:numId="5">
    <w:abstractNumId w:val="44"/>
  </w:num>
  <w:num w:numId="6">
    <w:abstractNumId w:val="30"/>
  </w:num>
  <w:num w:numId="7">
    <w:abstractNumId w:val="28"/>
  </w:num>
  <w:num w:numId="8">
    <w:abstractNumId w:val="41"/>
  </w:num>
  <w:num w:numId="9">
    <w:abstractNumId w:val="19"/>
  </w:num>
  <w:num w:numId="10">
    <w:abstractNumId w:val="4"/>
  </w:num>
  <w:num w:numId="11">
    <w:abstractNumId w:val="31"/>
  </w:num>
  <w:num w:numId="12">
    <w:abstractNumId w:val="17"/>
  </w:num>
  <w:num w:numId="13">
    <w:abstractNumId w:val="36"/>
  </w:num>
  <w:num w:numId="14">
    <w:abstractNumId w:val="40"/>
  </w:num>
  <w:num w:numId="15">
    <w:abstractNumId w:val="25"/>
  </w:num>
  <w:num w:numId="16">
    <w:abstractNumId w:val="37"/>
  </w:num>
  <w:num w:numId="17">
    <w:abstractNumId w:val="38"/>
  </w:num>
  <w:num w:numId="18">
    <w:abstractNumId w:val="15"/>
  </w:num>
  <w:num w:numId="19">
    <w:abstractNumId w:val="18"/>
  </w:num>
  <w:num w:numId="20">
    <w:abstractNumId w:val="39"/>
  </w:num>
  <w:num w:numId="21">
    <w:abstractNumId w:val="43"/>
  </w:num>
  <w:num w:numId="22">
    <w:abstractNumId w:val="10"/>
  </w:num>
  <w:num w:numId="23">
    <w:abstractNumId w:val="23"/>
  </w:num>
  <w:num w:numId="24">
    <w:abstractNumId w:val="13"/>
  </w:num>
  <w:num w:numId="25">
    <w:abstractNumId w:val="16"/>
  </w:num>
  <w:num w:numId="26">
    <w:abstractNumId w:val="14"/>
  </w:num>
  <w:num w:numId="27">
    <w:abstractNumId w:val="8"/>
  </w:num>
  <w:num w:numId="28">
    <w:abstractNumId w:val="33"/>
  </w:num>
  <w:num w:numId="29">
    <w:abstractNumId w:val="35"/>
  </w:num>
  <w:num w:numId="30">
    <w:abstractNumId w:val="24"/>
  </w:num>
  <w:num w:numId="31">
    <w:abstractNumId w:val="6"/>
  </w:num>
  <w:num w:numId="32">
    <w:abstractNumId w:val="34"/>
  </w:num>
  <w:num w:numId="33">
    <w:abstractNumId w:val="12"/>
  </w:num>
  <w:num w:numId="34">
    <w:abstractNumId w:val="20"/>
  </w:num>
  <w:num w:numId="35">
    <w:abstractNumId w:val="1"/>
  </w:num>
  <w:num w:numId="36">
    <w:abstractNumId w:val="26"/>
  </w:num>
  <w:num w:numId="37">
    <w:abstractNumId w:val="11"/>
  </w:num>
  <w:num w:numId="38">
    <w:abstractNumId w:val="21"/>
  </w:num>
  <w:num w:numId="39">
    <w:abstractNumId w:val="9"/>
  </w:num>
  <w:num w:numId="40">
    <w:abstractNumId w:val="7"/>
  </w:num>
  <w:num w:numId="41">
    <w:abstractNumId w:val="29"/>
  </w:num>
  <w:num w:numId="42">
    <w:abstractNumId w:val="3"/>
  </w:num>
  <w:num w:numId="43">
    <w:abstractNumId w:val="42"/>
  </w:num>
  <w:num w:numId="44">
    <w:abstractNumId w:val="22"/>
  </w:num>
  <w:num w:numId="45">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intFractionalCharacterWidth/>
  <w:embedSystemFonts/>
  <w:hideSpellingErrors/>
  <w:hideGrammaticalErrors/>
  <w:stylePaneFormatFilter w:val="3F01"/>
  <w:defaultTabStop w:val="720"/>
  <w:hyphenationZone w:val="0"/>
  <w:doNotHyphenateCaps/>
  <w:drawingGridHorizontalSpacing w:val="120"/>
  <w:displayHorizontalDrawingGridEvery w:val="0"/>
  <w:displayVerticalDrawingGridEvery w:val="0"/>
  <w:characterSpacingControl w:val="doNotCompress"/>
  <w:hdrShapeDefaults>
    <o:shapedefaults v:ext="edit" spidmax="74753"/>
  </w:hdrShapeDefaults>
  <w:footnotePr>
    <w:footnote w:id="-1"/>
    <w:footnote w:id="0"/>
  </w:footnotePr>
  <w:endnotePr>
    <w:endnote w:id="-1"/>
    <w:endnote w:id="0"/>
  </w:endnotePr>
  <w:compat/>
  <w:docVars>
    <w:docVar w:name="AS2DocOpenMode" w:val="AS2DocumentEdit"/>
  </w:docVars>
  <w:rsids>
    <w:rsidRoot w:val="00CD29C1"/>
    <w:rsid w:val="00000A7F"/>
    <w:rsid w:val="00001124"/>
    <w:rsid w:val="00001179"/>
    <w:rsid w:val="000013BC"/>
    <w:rsid w:val="000018FE"/>
    <w:rsid w:val="00001A2C"/>
    <w:rsid w:val="00001D4D"/>
    <w:rsid w:val="0000221A"/>
    <w:rsid w:val="00002E1B"/>
    <w:rsid w:val="000031A8"/>
    <w:rsid w:val="00003CBC"/>
    <w:rsid w:val="00003CD3"/>
    <w:rsid w:val="0000421E"/>
    <w:rsid w:val="000044F0"/>
    <w:rsid w:val="000049C2"/>
    <w:rsid w:val="00005775"/>
    <w:rsid w:val="00005AC5"/>
    <w:rsid w:val="00005B5F"/>
    <w:rsid w:val="00006804"/>
    <w:rsid w:val="00006B7D"/>
    <w:rsid w:val="00007839"/>
    <w:rsid w:val="00007DC4"/>
    <w:rsid w:val="00007E22"/>
    <w:rsid w:val="00007FC4"/>
    <w:rsid w:val="0001019B"/>
    <w:rsid w:val="0001039A"/>
    <w:rsid w:val="00010592"/>
    <w:rsid w:val="00011256"/>
    <w:rsid w:val="00011BDF"/>
    <w:rsid w:val="00011C1D"/>
    <w:rsid w:val="00011C7E"/>
    <w:rsid w:val="00011E30"/>
    <w:rsid w:val="00012B37"/>
    <w:rsid w:val="00012C5B"/>
    <w:rsid w:val="00013535"/>
    <w:rsid w:val="00013796"/>
    <w:rsid w:val="000142D6"/>
    <w:rsid w:val="00014445"/>
    <w:rsid w:val="000146F0"/>
    <w:rsid w:val="0001487E"/>
    <w:rsid w:val="00014B2D"/>
    <w:rsid w:val="00015044"/>
    <w:rsid w:val="000152D0"/>
    <w:rsid w:val="000156BA"/>
    <w:rsid w:val="00015B7C"/>
    <w:rsid w:val="00016808"/>
    <w:rsid w:val="00016910"/>
    <w:rsid w:val="00016B85"/>
    <w:rsid w:val="00016D43"/>
    <w:rsid w:val="00017406"/>
    <w:rsid w:val="000176F9"/>
    <w:rsid w:val="00017C84"/>
    <w:rsid w:val="00017D30"/>
    <w:rsid w:val="00017FE3"/>
    <w:rsid w:val="000203F4"/>
    <w:rsid w:val="000206C1"/>
    <w:rsid w:val="00021664"/>
    <w:rsid w:val="000217EA"/>
    <w:rsid w:val="00022298"/>
    <w:rsid w:val="00022860"/>
    <w:rsid w:val="00022A93"/>
    <w:rsid w:val="00022DD8"/>
    <w:rsid w:val="000238B9"/>
    <w:rsid w:val="00023C70"/>
    <w:rsid w:val="000245C8"/>
    <w:rsid w:val="00024F86"/>
    <w:rsid w:val="000257C6"/>
    <w:rsid w:val="00025AF6"/>
    <w:rsid w:val="00025D01"/>
    <w:rsid w:val="000262D2"/>
    <w:rsid w:val="000263EB"/>
    <w:rsid w:val="00026C02"/>
    <w:rsid w:val="00027233"/>
    <w:rsid w:val="00027420"/>
    <w:rsid w:val="000275E7"/>
    <w:rsid w:val="000310EA"/>
    <w:rsid w:val="000311F5"/>
    <w:rsid w:val="0003163B"/>
    <w:rsid w:val="0003230B"/>
    <w:rsid w:val="00032944"/>
    <w:rsid w:val="00033383"/>
    <w:rsid w:val="00033946"/>
    <w:rsid w:val="0003399C"/>
    <w:rsid w:val="000339EC"/>
    <w:rsid w:val="00034194"/>
    <w:rsid w:val="000350CD"/>
    <w:rsid w:val="0003530F"/>
    <w:rsid w:val="00036390"/>
    <w:rsid w:val="00036628"/>
    <w:rsid w:val="00037563"/>
    <w:rsid w:val="000378C8"/>
    <w:rsid w:val="0003799A"/>
    <w:rsid w:val="00037A50"/>
    <w:rsid w:val="00037E07"/>
    <w:rsid w:val="00040CD1"/>
    <w:rsid w:val="00041227"/>
    <w:rsid w:val="0004129C"/>
    <w:rsid w:val="000412E4"/>
    <w:rsid w:val="000418D6"/>
    <w:rsid w:val="00041CB7"/>
    <w:rsid w:val="00042024"/>
    <w:rsid w:val="00042505"/>
    <w:rsid w:val="00042838"/>
    <w:rsid w:val="00043007"/>
    <w:rsid w:val="00043778"/>
    <w:rsid w:val="00044617"/>
    <w:rsid w:val="00045789"/>
    <w:rsid w:val="00045D93"/>
    <w:rsid w:val="0004688A"/>
    <w:rsid w:val="00046A4B"/>
    <w:rsid w:val="00047270"/>
    <w:rsid w:val="00047F42"/>
    <w:rsid w:val="0005080F"/>
    <w:rsid w:val="00050EC8"/>
    <w:rsid w:val="0005109F"/>
    <w:rsid w:val="00051AA0"/>
    <w:rsid w:val="00051B98"/>
    <w:rsid w:val="00051E51"/>
    <w:rsid w:val="00051F1E"/>
    <w:rsid w:val="0005265E"/>
    <w:rsid w:val="0005314D"/>
    <w:rsid w:val="0005315C"/>
    <w:rsid w:val="000534ED"/>
    <w:rsid w:val="000538F4"/>
    <w:rsid w:val="00054480"/>
    <w:rsid w:val="0005492A"/>
    <w:rsid w:val="00054A60"/>
    <w:rsid w:val="00054B97"/>
    <w:rsid w:val="0005572E"/>
    <w:rsid w:val="0005598B"/>
    <w:rsid w:val="00055AC3"/>
    <w:rsid w:val="00056153"/>
    <w:rsid w:val="0005689C"/>
    <w:rsid w:val="000568B7"/>
    <w:rsid w:val="000569D4"/>
    <w:rsid w:val="00057116"/>
    <w:rsid w:val="00057627"/>
    <w:rsid w:val="00057F63"/>
    <w:rsid w:val="00057FF7"/>
    <w:rsid w:val="00060296"/>
    <w:rsid w:val="000609C7"/>
    <w:rsid w:val="00060BC9"/>
    <w:rsid w:val="0006142B"/>
    <w:rsid w:val="00061A9E"/>
    <w:rsid w:val="00061CF0"/>
    <w:rsid w:val="00061DF8"/>
    <w:rsid w:val="00062641"/>
    <w:rsid w:val="00062928"/>
    <w:rsid w:val="00062F5B"/>
    <w:rsid w:val="00064058"/>
    <w:rsid w:val="00064250"/>
    <w:rsid w:val="000645FE"/>
    <w:rsid w:val="0006482F"/>
    <w:rsid w:val="00064BDC"/>
    <w:rsid w:val="0006500C"/>
    <w:rsid w:val="00065E8E"/>
    <w:rsid w:val="0006615B"/>
    <w:rsid w:val="000668F1"/>
    <w:rsid w:val="00067D37"/>
    <w:rsid w:val="0007037E"/>
    <w:rsid w:val="0007148D"/>
    <w:rsid w:val="00071E0B"/>
    <w:rsid w:val="00072C98"/>
    <w:rsid w:val="00073281"/>
    <w:rsid w:val="000737E5"/>
    <w:rsid w:val="00073BE2"/>
    <w:rsid w:val="00074061"/>
    <w:rsid w:val="00074521"/>
    <w:rsid w:val="000749FC"/>
    <w:rsid w:val="0007540A"/>
    <w:rsid w:val="0007587B"/>
    <w:rsid w:val="0007603D"/>
    <w:rsid w:val="00077272"/>
    <w:rsid w:val="000777E7"/>
    <w:rsid w:val="0008070B"/>
    <w:rsid w:val="00081CEF"/>
    <w:rsid w:val="000822FB"/>
    <w:rsid w:val="00082580"/>
    <w:rsid w:val="00082F93"/>
    <w:rsid w:val="000838F2"/>
    <w:rsid w:val="00083C43"/>
    <w:rsid w:val="00084228"/>
    <w:rsid w:val="0008468D"/>
    <w:rsid w:val="00084826"/>
    <w:rsid w:val="00085C30"/>
    <w:rsid w:val="00085CD0"/>
    <w:rsid w:val="00086124"/>
    <w:rsid w:val="000873F6"/>
    <w:rsid w:val="00087409"/>
    <w:rsid w:val="00087414"/>
    <w:rsid w:val="000905AE"/>
    <w:rsid w:val="000909B3"/>
    <w:rsid w:val="00090BF5"/>
    <w:rsid w:val="00091BFA"/>
    <w:rsid w:val="00091D0C"/>
    <w:rsid w:val="00092B5E"/>
    <w:rsid w:val="00093333"/>
    <w:rsid w:val="00093598"/>
    <w:rsid w:val="0009570F"/>
    <w:rsid w:val="00096A90"/>
    <w:rsid w:val="00096F63"/>
    <w:rsid w:val="000A0711"/>
    <w:rsid w:val="000A09E7"/>
    <w:rsid w:val="000A15E8"/>
    <w:rsid w:val="000A1868"/>
    <w:rsid w:val="000A1C19"/>
    <w:rsid w:val="000A1C58"/>
    <w:rsid w:val="000A2274"/>
    <w:rsid w:val="000A236A"/>
    <w:rsid w:val="000A242A"/>
    <w:rsid w:val="000A2651"/>
    <w:rsid w:val="000A2C44"/>
    <w:rsid w:val="000A2CC9"/>
    <w:rsid w:val="000A3117"/>
    <w:rsid w:val="000A3480"/>
    <w:rsid w:val="000A395C"/>
    <w:rsid w:val="000A42C0"/>
    <w:rsid w:val="000A613E"/>
    <w:rsid w:val="000A67F6"/>
    <w:rsid w:val="000A6EDE"/>
    <w:rsid w:val="000A74A5"/>
    <w:rsid w:val="000A76AC"/>
    <w:rsid w:val="000A77A4"/>
    <w:rsid w:val="000A78FF"/>
    <w:rsid w:val="000A79DB"/>
    <w:rsid w:val="000A7A23"/>
    <w:rsid w:val="000B0E6A"/>
    <w:rsid w:val="000B194D"/>
    <w:rsid w:val="000B1999"/>
    <w:rsid w:val="000B2192"/>
    <w:rsid w:val="000B2200"/>
    <w:rsid w:val="000B22F5"/>
    <w:rsid w:val="000B2AFD"/>
    <w:rsid w:val="000B2B0C"/>
    <w:rsid w:val="000B3271"/>
    <w:rsid w:val="000B489A"/>
    <w:rsid w:val="000B48FC"/>
    <w:rsid w:val="000B49C2"/>
    <w:rsid w:val="000B4A6A"/>
    <w:rsid w:val="000B4DF1"/>
    <w:rsid w:val="000B5065"/>
    <w:rsid w:val="000B5705"/>
    <w:rsid w:val="000B5E02"/>
    <w:rsid w:val="000B60AB"/>
    <w:rsid w:val="000B6489"/>
    <w:rsid w:val="000B7F93"/>
    <w:rsid w:val="000C0A5C"/>
    <w:rsid w:val="000C12D4"/>
    <w:rsid w:val="000C1E49"/>
    <w:rsid w:val="000C228B"/>
    <w:rsid w:val="000C25E0"/>
    <w:rsid w:val="000C2D2D"/>
    <w:rsid w:val="000C30A2"/>
    <w:rsid w:val="000C381D"/>
    <w:rsid w:val="000C3B3D"/>
    <w:rsid w:val="000C431B"/>
    <w:rsid w:val="000C4E2C"/>
    <w:rsid w:val="000C5675"/>
    <w:rsid w:val="000C58FC"/>
    <w:rsid w:val="000C5DA2"/>
    <w:rsid w:val="000C601C"/>
    <w:rsid w:val="000C6A25"/>
    <w:rsid w:val="000C6F0B"/>
    <w:rsid w:val="000C702D"/>
    <w:rsid w:val="000C7236"/>
    <w:rsid w:val="000C7374"/>
    <w:rsid w:val="000C751C"/>
    <w:rsid w:val="000D00B8"/>
    <w:rsid w:val="000D05F6"/>
    <w:rsid w:val="000D07C1"/>
    <w:rsid w:val="000D0CA7"/>
    <w:rsid w:val="000D239A"/>
    <w:rsid w:val="000D24FD"/>
    <w:rsid w:val="000D2644"/>
    <w:rsid w:val="000D2868"/>
    <w:rsid w:val="000D35A5"/>
    <w:rsid w:val="000D35B8"/>
    <w:rsid w:val="000D3FE1"/>
    <w:rsid w:val="000D43C1"/>
    <w:rsid w:val="000D53E5"/>
    <w:rsid w:val="000D556E"/>
    <w:rsid w:val="000D5921"/>
    <w:rsid w:val="000D598D"/>
    <w:rsid w:val="000D6216"/>
    <w:rsid w:val="000D626C"/>
    <w:rsid w:val="000D767A"/>
    <w:rsid w:val="000E16F7"/>
    <w:rsid w:val="000E17EA"/>
    <w:rsid w:val="000E17FB"/>
    <w:rsid w:val="000E19F1"/>
    <w:rsid w:val="000E202B"/>
    <w:rsid w:val="000E24D5"/>
    <w:rsid w:val="000E275F"/>
    <w:rsid w:val="000E29F2"/>
    <w:rsid w:val="000E344C"/>
    <w:rsid w:val="000E3AE4"/>
    <w:rsid w:val="000E47A8"/>
    <w:rsid w:val="000E47DB"/>
    <w:rsid w:val="000E4C56"/>
    <w:rsid w:val="000E553E"/>
    <w:rsid w:val="000E5963"/>
    <w:rsid w:val="000E63E1"/>
    <w:rsid w:val="000E6C5D"/>
    <w:rsid w:val="000E6C7E"/>
    <w:rsid w:val="000E741D"/>
    <w:rsid w:val="000E7880"/>
    <w:rsid w:val="000E7A7F"/>
    <w:rsid w:val="000E7E4C"/>
    <w:rsid w:val="000F04DE"/>
    <w:rsid w:val="000F0817"/>
    <w:rsid w:val="000F1C85"/>
    <w:rsid w:val="000F1DF8"/>
    <w:rsid w:val="000F1FC1"/>
    <w:rsid w:val="000F2C85"/>
    <w:rsid w:val="000F2EFD"/>
    <w:rsid w:val="000F2F11"/>
    <w:rsid w:val="000F3744"/>
    <w:rsid w:val="000F37E3"/>
    <w:rsid w:val="000F4250"/>
    <w:rsid w:val="000F4EEB"/>
    <w:rsid w:val="000F538A"/>
    <w:rsid w:val="000F59FB"/>
    <w:rsid w:val="000F6424"/>
    <w:rsid w:val="000F6582"/>
    <w:rsid w:val="000F67F0"/>
    <w:rsid w:val="000F68BE"/>
    <w:rsid w:val="000F6C58"/>
    <w:rsid w:val="000F7021"/>
    <w:rsid w:val="000F7714"/>
    <w:rsid w:val="00100038"/>
    <w:rsid w:val="00100243"/>
    <w:rsid w:val="00100674"/>
    <w:rsid w:val="0010072A"/>
    <w:rsid w:val="001009DF"/>
    <w:rsid w:val="00100DD2"/>
    <w:rsid w:val="00100FCD"/>
    <w:rsid w:val="0010126B"/>
    <w:rsid w:val="0010148B"/>
    <w:rsid w:val="00102ACE"/>
    <w:rsid w:val="0010333D"/>
    <w:rsid w:val="00103386"/>
    <w:rsid w:val="0010344C"/>
    <w:rsid w:val="00103D24"/>
    <w:rsid w:val="00104068"/>
    <w:rsid w:val="0010449D"/>
    <w:rsid w:val="00104AC9"/>
    <w:rsid w:val="00104AE1"/>
    <w:rsid w:val="00104AE7"/>
    <w:rsid w:val="00104E95"/>
    <w:rsid w:val="00105978"/>
    <w:rsid w:val="00105A56"/>
    <w:rsid w:val="0010618D"/>
    <w:rsid w:val="00106331"/>
    <w:rsid w:val="001064C5"/>
    <w:rsid w:val="00106A27"/>
    <w:rsid w:val="00106D53"/>
    <w:rsid w:val="0010765D"/>
    <w:rsid w:val="001078FD"/>
    <w:rsid w:val="00107ECE"/>
    <w:rsid w:val="00107FBC"/>
    <w:rsid w:val="00110874"/>
    <w:rsid w:val="00110AC4"/>
    <w:rsid w:val="00110BF2"/>
    <w:rsid w:val="00110FCE"/>
    <w:rsid w:val="00111782"/>
    <w:rsid w:val="00111FFD"/>
    <w:rsid w:val="0011213E"/>
    <w:rsid w:val="001124B5"/>
    <w:rsid w:val="001128B7"/>
    <w:rsid w:val="00113C0F"/>
    <w:rsid w:val="00113D99"/>
    <w:rsid w:val="00113E21"/>
    <w:rsid w:val="00114035"/>
    <w:rsid w:val="001146FE"/>
    <w:rsid w:val="0011474D"/>
    <w:rsid w:val="00114B58"/>
    <w:rsid w:val="00114C09"/>
    <w:rsid w:val="001150B9"/>
    <w:rsid w:val="00115C8B"/>
    <w:rsid w:val="00116E89"/>
    <w:rsid w:val="001173AB"/>
    <w:rsid w:val="001173BD"/>
    <w:rsid w:val="001174DA"/>
    <w:rsid w:val="001175D8"/>
    <w:rsid w:val="00117ACB"/>
    <w:rsid w:val="001207F5"/>
    <w:rsid w:val="00120A57"/>
    <w:rsid w:val="0012145D"/>
    <w:rsid w:val="001216D9"/>
    <w:rsid w:val="001218A1"/>
    <w:rsid w:val="00121931"/>
    <w:rsid w:val="00121AC9"/>
    <w:rsid w:val="00121AFE"/>
    <w:rsid w:val="00121B0D"/>
    <w:rsid w:val="00122951"/>
    <w:rsid w:val="00123152"/>
    <w:rsid w:val="001235C0"/>
    <w:rsid w:val="00123665"/>
    <w:rsid w:val="001237B6"/>
    <w:rsid w:val="00123A62"/>
    <w:rsid w:val="00123BB8"/>
    <w:rsid w:val="00124298"/>
    <w:rsid w:val="0012512E"/>
    <w:rsid w:val="00125F05"/>
    <w:rsid w:val="0012637E"/>
    <w:rsid w:val="00126A42"/>
    <w:rsid w:val="00126FEA"/>
    <w:rsid w:val="00127497"/>
    <w:rsid w:val="00127C92"/>
    <w:rsid w:val="00130322"/>
    <w:rsid w:val="00130C5E"/>
    <w:rsid w:val="00130F88"/>
    <w:rsid w:val="001312D3"/>
    <w:rsid w:val="001313D1"/>
    <w:rsid w:val="00131786"/>
    <w:rsid w:val="00131D46"/>
    <w:rsid w:val="0013245E"/>
    <w:rsid w:val="00132624"/>
    <w:rsid w:val="0013274F"/>
    <w:rsid w:val="0013276D"/>
    <w:rsid w:val="00132809"/>
    <w:rsid w:val="00132A2A"/>
    <w:rsid w:val="001335F2"/>
    <w:rsid w:val="001343FD"/>
    <w:rsid w:val="00134986"/>
    <w:rsid w:val="00135064"/>
    <w:rsid w:val="00135F60"/>
    <w:rsid w:val="001364E3"/>
    <w:rsid w:val="00136950"/>
    <w:rsid w:val="00136D05"/>
    <w:rsid w:val="00136E27"/>
    <w:rsid w:val="00137030"/>
    <w:rsid w:val="0013756A"/>
    <w:rsid w:val="001378CA"/>
    <w:rsid w:val="001379DA"/>
    <w:rsid w:val="00140176"/>
    <w:rsid w:val="001409EE"/>
    <w:rsid w:val="00140ACD"/>
    <w:rsid w:val="00140BBA"/>
    <w:rsid w:val="00141428"/>
    <w:rsid w:val="001417ED"/>
    <w:rsid w:val="00141916"/>
    <w:rsid w:val="0014298B"/>
    <w:rsid w:val="00142C0F"/>
    <w:rsid w:val="00142F9D"/>
    <w:rsid w:val="0014314A"/>
    <w:rsid w:val="00143475"/>
    <w:rsid w:val="001448DC"/>
    <w:rsid w:val="0014520C"/>
    <w:rsid w:val="001458E1"/>
    <w:rsid w:val="00145971"/>
    <w:rsid w:val="0014636E"/>
    <w:rsid w:val="001466D4"/>
    <w:rsid w:val="00146972"/>
    <w:rsid w:val="00146A74"/>
    <w:rsid w:val="00146D01"/>
    <w:rsid w:val="00146DE5"/>
    <w:rsid w:val="00146E14"/>
    <w:rsid w:val="00146F6A"/>
    <w:rsid w:val="001470A6"/>
    <w:rsid w:val="0014789E"/>
    <w:rsid w:val="00147983"/>
    <w:rsid w:val="00147C4B"/>
    <w:rsid w:val="00147C92"/>
    <w:rsid w:val="00147CE7"/>
    <w:rsid w:val="00147D23"/>
    <w:rsid w:val="00150988"/>
    <w:rsid w:val="00150C62"/>
    <w:rsid w:val="001514D8"/>
    <w:rsid w:val="00152036"/>
    <w:rsid w:val="00152685"/>
    <w:rsid w:val="001526B3"/>
    <w:rsid w:val="00152B56"/>
    <w:rsid w:val="00153202"/>
    <w:rsid w:val="00153628"/>
    <w:rsid w:val="00154C89"/>
    <w:rsid w:val="00155269"/>
    <w:rsid w:val="00155408"/>
    <w:rsid w:val="00156826"/>
    <w:rsid w:val="00156E9B"/>
    <w:rsid w:val="00157347"/>
    <w:rsid w:val="00157B81"/>
    <w:rsid w:val="0016001B"/>
    <w:rsid w:val="001609F3"/>
    <w:rsid w:val="00160DBA"/>
    <w:rsid w:val="001616A6"/>
    <w:rsid w:val="001622C6"/>
    <w:rsid w:val="00162E69"/>
    <w:rsid w:val="001638D4"/>
    <w:rsid w:val="00163AD5"/>
    <w:rsid w:val="00163F24"/>
    <w:rsid w:val="00164236"/>
    <w:rsid w:val="001644F9"/>
    <w:rsid w:val="00164C3F"/>
    <w:rsid w:val="00164CDB"/>
    <w:rsid w:val="0016516E"/>
    <w:rsid w:val="00165410"/>
    <w:rsid w:val="001655F5"/>
    <w:rsid w:val="001657A7"/>
    <w:rsid w:val="001659CE"/>
    <w:rsid w:val="00165D17"/>
    <w:rsid w:val="00166116"/>
    <w:rsid w:val="00166812"/>
    <w:rsid w:val="00166B9C"/>
    <w:rsid w:val="001671A8"/>
    <w:rsid w:val="001671F4"/>
    <w:rsid w:val="00167B22"/>
    <w:rsid w:val="00167BB5"/>
    <w:rsid w:val="001700B8"/>
    <w:rsid w:val="00170525"/>
    <w:rsid w:val="00171C40"/>
    <w:rsid w:val="0017219B"/>
    <w:rsid w:val="00172236"/>
    <w:rsid w:val="00172362"/>
    <w:rsid w:val="0017271C"/>
    <w:rsid w:val="00172E89"/>
    <w:rsid w:val="001736AC"/>
    <w:rsid w:val="0017455C"/>
    <w:rsid w:val="0017456A"/>
    <w:rsid w:val="0017468A"/>
    <w:rsid w:val="00174EBF"/>
    <w:rsid w:val="0017520B"/>
    <w:rsid w:val="00175CE9"/>
    <w:rsid w:val="00176370"/>
    <w:rsid w:val="0017642D"/>
    <w:rsid w:val="00176655"/>
    <w:rsid w:val="00176955"/>
    <w:rsid w:val="00177505"/>
    <w:rsid w:val="0017774F"/>
    <w:rsid w:val="0018015A"/>
    <w:rsid w:val="00180834"/>
    <w:rsid w:val="00180BF8"/>
    <w:rsid w:val="00181C3E"/>
    <w:rsid w:val="00182859"/>
    <w:rsid w:val="00182A53"/>
    <w:rsid w:val="00183186"/>
    <w:rsid w:val="00183C62"/>
    <w:rsid w:val="00183EDD"/>
    <w:rsid w:val="0018464A"/>
    <w:rsid w:val="00184DFD"/>
    <w:rsid w:val="00185704"/>
    <w:rsid w:val="0018637A"/>
    <w:rsid w:val="001879A2"/>
    <w:rsid w:val="001902B6"/>
    <w:rsid w:val="00190B6B"/>
    <w:rsid w:val="00190D2E"/>
    <w:rsid w:val="00190E5B"/>
    <w:rsid w:val="00191C3F"/>
    <w:rsid w:val="00191C58"/>
    <w:rsid w:val="00191FCA"/>
    <w:rsid w:val="00193150"/>
    <w:rsid w:val="00193179"/>
    <w:rsid w:val="00193D59"/>
    <w:rsid w:val="0019491E"/>
    <w:rsid w:val="00194F42"/>
    <w:rsid w:val="0019509B"/>
    <w:rsid w:val="001954A2"/>
    <w:rsid w:val="0019598F"/>
    <w:rsid w:val="00196325"/>
    <w:rsid w:val="0019650B"/>
    <w:rsid w:val="00196562"/>
    <w:rsid w:val="00196E13"/>
    <w:rsid w:val="00196F08"/>
    <w:rsid w:val="00197780"/>
    <w:rsid w:val="00197B45"/>
    <w:rsid w:val="001A0336"/>
    <w:rsid w:val="001A0C54"/>
    <w:rsid w:val="001A0D20"/>
    <w:rsid w:val="001A0F7E"/>
    <w:rsid w:val="001A1B1C"/>
    <w:rsid w:val="001A24DB"/>
    <w:rsid w:val="001A258B"/>
    <w:rsid w:val="001A2A97"/>
    <w:rsid w:val="001A2D73"/>
    <w:rsid w:val="001A3006"/>
    <w:rsid w:val="001A3BA6"/>
    <w:rsid w:val="001A433E"/>
    <w:rsid w:val="001A4A44"/>
    <w:rsid w:val="001A4A7B"/>
    <w:rsid w:val="001A5231"/>
    <w:rsid w:val="001A56DC"/>
    <w:rsid w:val="001A571C"/>
    <w:rsid w:val="001A5AB8"/>
    <w:rsid w:val="001A5EB6"/>
    <w:rsid w:val="001A5EB8"/>
    <w:rsid w:val="001A63E8"/>
    <w:rsid w:val="001A773C"/>
    <w:rsid w:val="001B09A2"/>
    <w:rsid w:val="001B0B67"/>
    <w:rsid w:val="001B0BE5"/>
    <w:rsid w:val="001B0BF7"/>
    <w:rsid w:val="001B170C"/>
    <w:rsid w:val="001B1894"/>
    <w:rsid w:val="001B364E"/>
    <w:rsid w:val="001B36DF"/>
    <w:rsid w:val="001B3812"/>
    <w:rsid w:val="001B3C1E"/>
    <w:rsid w:val="001B4CA5"/>
    <w:rsid w:val="001B5315"/>
    <w:rsid w:val="001B5366"/>
    <w:rsid w:val="001B54EB"/>
    <w:rsid w:val="001B5586"/>
    <w:rsid w:val="001B5A70"/>
    <w:rsid w:val="001B5BA3"/>
    <w:rsid w:val="001B653A"/>
    <w:rsid w:val="001B66B2"/>
    <w:rsid w:val="001B71EB"/>
    <w:rsid w:val="001B781A"/>
    <w:rsid w:val="001B78DF"/>
    <w:rsid w:val="001B7DAB"/>
    <w:rsid w:val="001C1121"/>
    <w:rsid w:val="001C147D"/>
    <w:rsid w:val="001C18AC"/>
    <w:rsid w:val="001C1BB0"/>
    <w:rsid w:val="001C226F"/>
    <w:rsid w:val="001C28FA"/>
    <w:rsid w:val="001C2995"/>
    <w:rsid w:val="001C2B8D"/>
    <w:rsid w:val="001C32E8"/>
    <w:rsid w:val="001C4370"/>
    <w:rsid w:val="001C43BE"/>
    <w:rsid w:val="001C4B77"/>
    <w:rsid w:val="001C4D7D"/>
    <w:rsid w:val="001C5021"/>
    <w:rsid w:val="001C5331"/>
    <w:rsid w:val="001C5C7E"/>
    <w:rsid w:val="001C5C87"/>
    <w:rsid w:val="001C62A4"/>
    <w:rsid w:val="001C651D"/>
    <w:rsid w:val="001C662C"/>
    <w:rsid w:val="001C6630"/>
    <w:rsid w:val="001C6AE3"/>
    <w:rsid w:val="001C6CFB"/>
    <w:rsid w:val="001C6EB9"/>
    <w:rsid w:val="001C716C"/>
    <w:rsid w:val="001C78A5"/>
    <w:rsid w:val="001C7A48"/>
    <w:rsid w:val="001D0907"/>
    <w:rsid w:val="001D0DD2"/>
    <w:rsid w:val="001D1655"/>
    <w:rsid w:val="001D18A5"/>
    <w:rsid w:val="001D1928"/>
    <w:rsid w:val="001D225A"/>
    <w:rsid w:val="001D23DD"/>
    <w:rsid w:val="001D2589"/>
    <w:rsid w:val="001D340F"/>
    <w:rsid w:val="001D3F82"/>
    <w:rsid w:val="001D3FE0"/>
    <w:rsid w:val="001D48AF"/>
    <w:rsid w:val="001D52FA"/>
    <w:rsid w:val="001D5B76"/>
    <w:rsid w:val="001D5C6D"/>
    <w:rsid w:val="001D62FE"/>
    <w:rsid w:val="001D6BB3"/>
    <w:rsid w:val="001D6BB4"/>
    <w:rsid w:val="001D6BE5"/>
    <w:rsid w:val="001D78CD"/>
    <w:rsid w:val="001D7997"/>
    <w:rsid w:val="001D7B12"/>
    <w:rsid w:val="001E04E8"/>
    <w:rsid w:val="001E1343"/>
    <w:rsid w:val="001E232E"/>
    <w:rsid w:val="001E2BD6"/>
    <w:rsid w:val="001E2EA7"/>
    <w:rsid w:val="001E323F"/>
    <w:rsid w:val="001E34FB"/>
    <w:rsid w:val="001E3CE7"/>
    <w:rsid w:val="001E459C"/>
    <w:rsid w:val="001E45FE"/>
    <w:rsid w:val="001E4A99"/>
    <w:rsid w:val="001E4D9F"/>
    <w:rsid w:val="001E4EC0"/>
    <w:rsid w:val="001E5A91"/>
    <w:rsid w:val="001E6356"/>
    <w:rsid w:val="001E64B7"/>
    <w:rsid w:val="001E6848"/>
    <w:rsid w:val="001E6BDA"/>
    <w:rsid w:val="001E7400"/>
    <w:rsid w:val="001E7CA5"/>
    <w:rsid w:val="001F03D1"/>
    <w:rsid w:val="001F07C3"/>
    <w:rsid w:val="001F0A92"/>
    <w:rsid w:val="001F0BA0"/>
    <w:rsid w:val="001F1A11"/>
    <w:rsid w:val="001F2002"/>
    <w:rsid w:val="001F2195"/>
    <w:rsid w:val="001F25A3"/>
    <w:rsid w:val="001F266A"/>
    <w:rsid w:val="001F2C96"/>
    <w:rsid w:val="001F35E5"/>
    <w:rsid w:val="001F369F"/>
    <w:rsid w:val="001F3D26"/>
    <w:rsid w:val="001F477F"/>
    <w:rsid w:val="001F4D20"/>
    <w:rsid w:val="001F62DF"/>
    <w:rsid w:val="001F63D4"/>
    <w:rsid w:val="001F6C45"/>
    <w:rsid w:val="001F733B"/>
    <w:rsid w:val="001F7A9D"/>
    <w:rsid w:val="001F7B95"/>
    <w:rsid w:val="002000BD"/>
    <w:rsid w:val="00200388"/>
    <w:rsid w:val="002005D5"/>
    <w:rsid w:val="00200BF6"/>
    <w:rsid w:val="00200C83"/>
    <w:rsid w:val="00200F06"/>
    <w:rsid w:val="00201007"/>
    <w:rsid w:val="002011D3"/>
    <w:rsid w:val="00201351"/>
    <w:rsid w:val="00201ADE"/>
    <w:rsid w:val="002021AD"/>
    <w:rsid w:val="00202350"/>
    <w:rsid w:val="00203674"/>
    <w:rsid w:val="00203D6A"/>
    <w:rsid w:val="00203F39"/>
    <w:rsid w:val="00205992"/>
    <w:rsid w:val="00205EAD"/>
    <w:rsid w:val="0020618F"/>
    <w:rsid w:val="002063EA"/>
    <w:rsid w:val="002067F9"/>
    <w:rsid w:val="00206E59"/>
    <w:rsid w:val="0020705B"/>
    <w:rsid w:val="002073B1"/>
    <w:rsid w:val="002073DF"/>
    <w:rsid w:val="002075B4"/>
    <w:rsid w:val="00207BA2"/>
    <w:rsid w:val="00207CB8"/>
    <w:rsid w:val="0021025B"/>
    <w:rsid w:val="00210814"/>
    <w:rsid w:val="00211A22"/>
    <w:rsid w:val="00211B15"/>
    <w:rsid w:val="00211B4C"/>
    <w:rsid w:val="00211FFF"/>
    <w:rsid w:val="00212113"/>
    <w:rsid w:val="00212747"/>
    <w:rsid w:val="002128BA"/>
    <w:rsid w:val="0021298D"/>
    <w:rsid w:val="00212B2C"/>
    <w:rsid w:val="00212C2A"/>
    <w:rsid w:val="00212D23"/>
    <w:rsid w:val="00212EA1"/>
    <w:rsid w:val="00213FDB"/>
    <w:rsid w:val="00214642"/>
    <w:rsid w:val="00214963"/>
    <w:rsid w:val="00214972"/>
    <w:rsid w:val="00214AF3"/>
    <w:rsid w:val="002153A3"/>
    <w:rsid w:val="002154E0"/>
    <w:rsid w:val="00215516"/>
    <w:rsid w:val="00215A67"/>
    <w:rsid w:val="00215B1F"/>
    <w:rsid w:val="00216479"/>
    <w:rsid w:val="00216756"/>
    <w:rsid w:val="002171A4"/>
    <w:rsid w:val="002178B6"/>
    <w:rsid w:val="00217A6A"/>
    <w:rsid w:val="00217BBE"/>
    <w:rsid w:val="00220188"/>
    <w:rsid w:val="002203D7"/>
    <w:rsid w:val="002207CB"/>
    <w:rsid w:val="00220830"/>
    <w:rsid w:val="002208B2"/>
    <w:rsid w:val="00220ECA"/>
    <w:rsid w:val="00220EED"/>
    <w:rsid w:val="00220FA2"/>
    <w:rsid w:val="002217D7"/>
    <w:rsid w:val="002219F9"/>
    <w:rsid w:val="00223E05"/>
    <w:rsid w:val="00224052"/>
    <w:rsid w:val="0022447D"/>
    <w:rsid w:val="00224FD7"/>
    <w:rsid w:val="00225116"/>
    <w:rsid w:val="002254DF"/>
    <w:rsid w:val="00225811"/>
    <w:rsid w:val="00225EED"/>
    <w:rsid w:val="002261EC"/>
    <w:rsid w:val="002262ED"/>
    <w:rsid w:val="002267DA"/>
    <w:rsid w:val="002268BC"/>
    <w:rsid w:val="00227211"/>
    <w:rsid w:val="002300C3"/>
    <w:rsid w:val="002311BE"/>
    <w:rsid w:val="0023124E"/>
    <w:rsid w:val="00231478"/>
    <w:rsid w:val="00231938"/>
    <w:rsid w:val="002319B0"/>
    <w:rsid w:val="00231EA6"/>
    <w:rsid w:val="00232372"/>
    <w:rsid w:val="002323F1"/>
    <w:rsid w:val="00232563"/>
    <w:rsid w:val="00233320"/>
    <w:rsid w:val="00234220"/>
    <w:rsid w:val="00234DB8"/>
    <w:rsid w:val="002350BE"/>
    <w:rsid w:val="002356F3"/>
    <w:rsid w:val="00235A78"/>
    <w:rsid w:val="00236014"/>
    <w:rsid w:val="0023603D"/>
    <w:rsid w:val="00236126"/>
    <w:rsid w:val="002361E9"/>
    <w:rsid w:val="0023694B"/>
    <w:rsid w:val="00236BD8"/>
    <w:rsid w:val="00240421"/>
    <w:rsid w:val="00240839"/>
    <w:rsid w:val="002411C8"/>
    <w:rsid w:val="00241D90"/>
    <w:rsid w:val="00242111"/>
    <w:rsid w:val="00243C32"/>
    <w:rsid w:val="00243D7A"/>
    <w:rsid w:val="0024469E"/>
    <w:rsid w:val="0024536A"/>
    <w:rsid w:val="00245CFE"/>
    <w:rsid w:val="00245D35"/>
    <w:rsid w:val="00246638"/>
    <w:rsid w:val="002468CA"/>
    <w:rsid w:val="00247551"/>
    <w:rsid w:val="002475FB"/>
    <w:rsid w:val="00247896"/>
    <w:rsid w:val="00247CE4"/>
    <w:rsid w:val="00247D4A"/>
    <w:rsid w:val="00247DA7"/>
    <w:rsid w:val="00250B55"/>
    <w:rsid w:val="00250BD4"/>
    <w:rsid w:val="00250FF8"/>
    <w:rsid w:val="00251796"/>
    <w:rsid w:val="00251835"/>
    <w:rsid w:val="002520AF"/>
    <w:rsid w:val="002522C1"/>
    <w:rsid w:val="00252406"/>
    <w:rsid w:val="0025277A"/>
    <w:rsid w:val="00253CF8"/>
    <w:rsid w:val="00253D1F"/>
    <w:rsid w:val="0025408A"/>
    <w:rsid w:val="00254DCE"/>
    <w:rsid w:val="00255745"/>
    <w:rsid w:val="002558B8"/>
    <w:rsid w:val="00255A2E"/>
    <w:rsid w:val="00256348"/>
    <w:rsid w:val="002566AB"/>
    <w:rsid w:val="00257656"/>
    <w:rsid w:val="00257DB8"/>
    <w:rsid w:val="00260FE7"/>
    <w:rsid w:val="002614CC"/>
    <w:rsid w:val="002617E9"/>
    <w:rsid w:val="0026185A"/>
    <w:rsid w:val="00261D0A"/>
    <w:rsid w:val="002620CC"/>
    <w:rsid w:val="00262849"/>
    <w:rsid w:val="002631FB"/>
    <w:rsid w:val="002635E9"/>
    <w:rsid w:val="0026488A"/>
    <w:rsid w:val="0026500A"/>
    <w:rsid w:val="002651DD"/>
    <w:rsid w:val="00265549"/>
    <w:rsid w:val="002658EF"/>
    <w:rsid w:val="00265D15"/>
    <w:rsid w:val="00265D57"/>
    <w:rsid w:val="00266B65"/>
    <w:rsid w:val="002671F5"/>
    <w:rsid w:val="00267245"/>
    <w:rsid w:val="0026733C"/>
    <w:rsid w:val="002673D0"/>
    <w:rsid w:val="00267776"/>
    <w:rsid w:val="00267DF1"/>
    <w:rsid w:val="002711AA"/>
    <w:rsid w:val="002713F1"/>
    <w:rsid w:val="00271757"/>
    <w:rsid w:val="00271CE8"/>
    <w:rsid w:val="00271E21"/>
    <w:rsid w:val="00271FFC"/>
    <w:rsid w:val="002723B1"/>
    <w:rsid w:val="002724D5"/>
    <w:rsid w:val="002736C2"/>
    <w:rsid w:val="002736CB"/>
    <w:rsid w:val="002740D5"/>
    <w:rsid w:val="002741D8"/>
    <w:rsid w:val="00274DDC"/>
    <w:rsid w:val="00275427"/>
    <w:rsid w:val="00275779"/>
    <w:rsid w:val="0027662F"/>
    <w:rsid w:val="0027696D"/>
    <w:rsid w:val="00276BC3"/>
    <w:rsid w:val="00276FC6"/>
    <w:rsid w:val="002772CF"/>
    <w:rsid w:val="00277CB3"/>
    <w:rsid w:val="00280032"/>
    <w:rsid w:val="0028010D"/>
    <w:rsid w:val="002805C4"/>
    <w:rsid w:val="00281032"/>
    <w:rsid w:val="0028160B"/>
    <w:rsid w:val="00281D1E"/>
    <w:rsid w:val="00281EB4"/>
    <w:rsid w:val="00283007"/>
    <w:rsid w:val="00283299"/>
    <w:rsid w:val="002835C2"/>
    <w:rsid w:val="00283F8D"/>
    <w:rsid w:val="00284235"/>
    <w:rsid w:val="00284454"/>
    <w:rsid w:val="00284DB1"/>
    <w:rsid w:val="002855A2"/>
    <w:rsid w:val="002857A7"/>
    <w:rsid w:val="00285CF1"/>
    <w:rsid w:val="00285F44"/>
    <w:rsid w:val="00286B3F"/>
    <w:rsid w:val="00287FC7"/>
    <w:rsid w:val="00290BC8"/>
    <w:rsid w:val="00291685"/>
    <w:rsid w:val="00292766"/>
    <w:rsid w:val="0029284E"/>
    <w:rsid w:val="0029343B"/>
    <w:rsid w:val="00293624"/>
    <w:rsid w:val="002936E2"/>
    <w:rsid w:val="00293D3B"/>
    <w:rsid w:val="002945BC"/>
    <w:rsid w:val="00295265"/>
    <w:rsid w:val="002954EF"/>
    <w:rsid w:val="00295C2F"/>
    <w:rsid w:val="002964E0"/>
    <w:rsid w:val="0029698B"/>
    <w:rsid w:val="00296A99"/>
    <w:rsid w:val="00296F03"/>
    <w:rsid w:val="00297888"/>
    <w:rsid w:val="002A028C"/>
    <w:rsid w:val="002A07C0"/>
    <w:rsid w:val="002A08F7"/>
    <w:rsid w:val="002A0C0D"/>
    <w:rsid w:val="002A117F"/>
    <w:rsid w:val="002A14DB"/>
    <w:rsid w:val="002A1533"/>
    <w:rsid w:val="002A1541"/>
    <w:rsid w:val="002A1669"/>
    <w:rsid w:val="002A1736"/>
    <w:rsid w:val="002A1A0F"/>
    <w:rsid w:val="002A1B16"/>
    <w:rsid w:val="002A1DC1"/>
    <w:rsid w:val="002A1F85"/>
    <w:rsid w:val="002A20B3"/>
    <w:rsid w:val="002A282A"/>
    <w:rsid w:val="002A29AA"/>
    <w:rsid w:val="002A29C5"/>
    <w:rsid w:val="002A2A50"/>
    <w:rsid w:val="002A33C5"/>
    <w:rsid w:val="002A39A7"/>
    <w:rsid w:val="002A3CED"/>
    <w:rsid w:val="002A4309"/>
    <w:rsid w:val="002A45A9"/>
    <w:rsid w:val="002A48E3"/>
    <w:rsid w:val="002A4B33"/>
    <w:rsid w:val="002A4DC6"/>
    <w:rsid w:val="002A57DC"/>
    <w:rsid w:val="002A60C4"/>
    <w:rsid w:val="002A63F2"/>
    <w:rsid w:val="002A682C"/>
    <w:rsid w:val="002A7631"/>
    <w:rsid w:val="002A7BB7"/>
    <w:rsid w:val="002A7D8D"/>
    <w:rsid w:val="002A7DEE"/>
    <w:rsid w:val="002B15F7"/>
    <w:rsid w:val="002B21EC"/>
    <w:rsid w:val="002B2A81"/>
    <w:rsid w:val="002B2B5F"/>
    <w:rsid w:val="002B31C9"/>
    <w:rsid w:val="002B4DB6"/>
    <w:rsid w:val="002B5035"/>
    <w:rsid w:val="002B57F7"/>
    <w:rsid w:val="002B5C6D"/>
    <w:rsid w:val="002B64AF"/>
    <w:rsid w:val="002B66AB"/>
    <w:rsid w:val="002B6F15"/>
    <w:rsid w:val="002B726B"/>
    <w:rsid w:val="002B73EC"/>
    <w:rsid w:val="002B7AAF"/>
    <w:rsid w:val="002B7C9E"/>
    <w:rsid w:val="002B7ED0"/>
    <w:rsid w:val="002C078A"/>
    <w:rsid w:val="002C07A0"/>
    <w:rsid w:val="002C0F0C"/>
    <w:rsid w:val="002C221C"/>
    <w:rsid w:val="002C30B4"/>
    <w:rsid w:val="002C375B"/>
    <w:rsid w:val="002C3DCE"/>
    <w:rsid w:val="002C3DFA"/>
    <w:rsid w:val="002C43E3"/>
    <w:rsid w:val="002C5515"/>
    <w:rsid w:val="002C59F5"/>
    <w:rsid w:val="002C5BC1"/>
    <w:rsid w:val="002C5D69"/>
    <w:rsid w:val="002C6C80"/>
    <w:rsid w:val="002C6DE4"/>
    <w:rsid w:val="002C73E6"/>
    <w:rsid w:val="002C73F4"/>
    <w:rsid w:val="002C794D"/>
    <w:rsid w:val="002C7BB9"/>
    <w:rsid w:val="002D0282"/>
    <w:rsid w:val="002D037A"/>
    <w:rsid w:val="002D083A"/>
    <w:rsid w:val="002D0A14"/>
    <w:rsid w:val="002D0EC6"/>
    <w:rsid w:val="002D0F6F"/>
    <w:rsid w:val="002D1279"/>
    <w:rsid w:val="002D1664"/>
    <w:rsid w:val="002D223E"/>
    <w:rsid w:val="002D22DC"/>
    <w:rsid w:val="002D3016"/>
    <w:rsid w:val="002D384B"/>
    <w:rsid w:val="002D39A9"/>
    <w:rsid w:val="002D3BB2"/>
    <w:rsid w:val="002D4604"/>
    <w:rsid w:val="002D4AE4"/>
    <w:rsid w:val="002D4E41"/>
    <w:rsid w:val="002D4ED5"/>
    <w:rsid w:val="002D50C4"/>
    <w:rsid w:val="002D5136"/>
    <w:rsid w:val="002D52E7"/>
    <w:rsid w:val="002D53D1"/>
    <w:rsid w:val="002D5FB2"/>
    <w:rsid w:val="002D6540"/>
    <w:rsid w:val="002D6858"/>
    <w:rsid w:val="002D69F1"/>
    <w:rsid w:val="002D6F41"/>
    <w:rsid w:val="002D7101"/>
    <w:rsid w:val="002D7172"/>
    <w:rsid w:val="002D7184"/>
    <w:rsid w:val="002D71F7"/>
    <w:rsid w:val="002D7961"/>
    <w:rsid w:val="002D7A14"/>
    <w:rsid w:val="002E07A3"/>
    <w:rsid w:val="002E0948"/>
    <w:rsid w:val="002E153E"/>
    <w:rsid w:val="002E17DA"/>
    <w:rsid w:val="002E2072"/>
    <w:rsid w:val="002E2278"/>
    <w:rsid w:val="002E235C"/>
    <w:rsid w:val="002E2393"/>
    <w:rsid w:val="002E2ACA"/>
    <w:rsid w:val="002E2EE6"/>
    <w:rsid w:val="002E357E"/>
    <w:rsid w:val="002E3E13"/>
    <w:rsid w:val="002E4D93"/>
    <w:rsid w:val="002E56D0"/>
    <w:rsid w:val="002E5844"/>
    <w:rsid w:val="002E62B9"/>
    <w:rsid w:val="002E6756"/>
    <w:rsid w:val="002E6879"/>
    <w:rsid w:val="002E68DF"/>
    <w:rsid w:val="002E7D28"/>
    <w:rsid w:val="002F0534"/>
    <w:rsid w:val="002F0646"/>
    <w:rsid w:val="002F1543"/>
    <w:rsid w:val="002F1B28"/>
    <w:rsid w:val="002F2049"/>
    <w:rsid w:val="002F2A4A"/>
    <w:rsid w:val="002F30D6"/>
    <w:rsid w:val="002F3354"/>
    <w:rsid w:val="002F35FE"/>
    <w:rsid w:val="002F4770"/>
    <w:rsid w:val="002F4812"/>
    <w:rsid w:val="002F4862"/>
    <w:rsid w:val="002F4B9C"/>
    <w:rsid w:val="002F4EE7"/>
    <w:rsid w:val="002F6326"/>
    <w:rsid w:val="002F65EA"/>
    <w:rsid w:val="002F76B6"/>
    <w:rsid w:val="002F778E"/>
    <w:rsid w:val="002F7BC6"/>
    <w:rsid w:val="002F7CD0"/>
    <w:rsid w:val="002F7E32"/>
    <w:rsid w:val="00300466"/>
    <w:rsid w:val="0030047F"/>
    <w:rsid w:val="003005F1"/>
    <w:rsid w:val="00300778"/>
    <w:rsid w:val="00300D66"/>
    <w:rsid w:val="00300F9F"/>
    <w:rsid w:val="003014F6"/>
    <w:rsid w:val="003023E1"/>
    <w:rsid w:val="00302A89"/>
    <w:rsid w:val="00302AE2"/>
    <w:rsid w:val="003034CD"/>
    <w:rsid w:val="0030380B"/>
    <w:rsid w:val="0030398B"/>
    <w:rsid w:val="0030398E"/>
    <w:rsid w:val="00303C40"/>
    <w:rsid w:val="0030486C"/>
    <w:rsid w:val="00304F1E"/>
    <w:rsid w:val="00305209"/>
    <w:rsid w:val="0030554A"/>
    <w:rsid w:val="003060AC"/>
    <w:rsid w:val="00306425"/>
    <w:rsid w:val="003066F4"/>
    <w:rsid w:val="00306E80"/>
    <w:rsid w:val="00306E96"/>
    <w:rsid w:val="00307C9F"/>
    <w:rsid w:val="00310B5D"/>
    <w:rsid w:val="00310BE7"/>
    <w:rsid w:val="00310CD4"/>
    <w:rsid w:val="00310D58"/>
    <w:rsid w:val="0031105A"/>
    <w:rsid w:val="003110D5"/>
    <w:rsid w:val="00311327"/>
    <w:rsid w:val="0031182F"/>
    <w:rsid w:val="0031229E"/>
    <w:rsid w:val="003123AA"/>
    <w:rsid w:val="003124BD"/>
    <w:rsid w:val="00313421"/>
    <w:rsid w:val="00314FE9"/>
    <w:rsid w:val="00315024"/>
    <w:rsid w:val="00315097"/>
    <w:rsid w:val="003169A6"/>
    <w:rsid w:val="00316AAE"/>
    <w:rsid w:val="0031702F"/>
    <w:rsid w:val="003173A5"/>
    <w:rsid w:val="003173E2"/>
    <w:rsid w:val="0032094E"/>
    <w:rsid w:val="00321194"/>
    <w:rsid w:val="003221D4"/>
    <w:rsid w:val="003224D1"/>
    <w:rsid w:val="00322A2F"/>
    <w:rsid w:val="003232A1"/>
    <w:rsid w:val="003236CA"/>
    <w:rsid w:val="00323868"/>
    <w:rsid w:val="00323C11"/>
    <w:rsid w:val="00323D9F"/>
    <w:rsid w:val="0032403F"/>
    <w:rsid w:val="003248B5"/>
    <w:rsid w:val="00325837"/>
    <w:rsid w:val="00325B9F"/>
    <w:rsid w:val="00326AB1"/>
    <w:rsid w:val="00327DBE"/>
    <w:rsid w:val="003301EE"/>
    <w:rsid w:val="0033041E"/>
    <w:rsid w:val="0033075B"/>
    <w:rsid w:val="003312DA"/>
    <w:rsid w:val="00331AC0"/>
    <w:rsid w:val="0033223D"/>
    <w:rsid w:val="0033277F"/>
    <w:rsid w:val="00332DE1"/>
    <w:rsid w:val="00334090"/>
    <w:rsid w:val="00334123"/>
    <w:rsid w:val="0033424C"/>
    <w:rsid w:val="0033465D"/>
    <w:rsid w:val="00334FF1"/>
    <w:rsid w:val="00335014"/>
    <w:rsid w:val="00335107"/>
    <w:rsid w:val="00335558"/>
    <w:rsid w:val="00335D3B"/>
    <w:rsid w:val="0033658C"/>
    <w:rsid w:val="00336C0B"/>
    <w:rsid w:val="00337271"/>
    <w:rsid w:val="00337672"/>
    <w:rsid w:val="00337CA4"/>
    <w:rsid w:val="003401F4"/>
    <w:rsid w:val="003404B9"/>
    <w:rsid w:val="00340823"/>
    <w:rsid w:val="00340879"/>
    <w:rsid w:val="00340AB2"/>
    <w:rsid w:val="00340B9E"/>
    <w:rsid w:val="00340BA4"/>
    <w:rsid w:val="003413E9"/>
    <w:rsid w:val="003414F7"/>
    <w:rsid w:val="0034173D"/>
    <w:rsid w:val="0034200A"/>
    <w:rsid w:val="003422A4"/>
    <w:rsid w:val="0034270F"/>
    <w:rsid w:val="00342960"/>
    <w:rsid w:val="00342B2E"/>
    <w:rsid w:val="00342FF9"/>
    <w:rsid w:val="00343161"/>
    <w:rsid w:val="0034363A"/>
    <w:rsid w:val="0034374F"/>
    <w:rsid w:val="003437C8"/>
    <w:rsid w:val="00343818"/>
    <w:rsid w:val="00343CE3"/>
    <w:rsid w:val="00344E5F"/>
    <w:rsid w:val="00345BCC"/>
    <w:rsid w:val="00345C2C"/>
    <w:rsid w:val="00345CD8"/>
    <w:rsid w:val="0034639F"/>
    <w:rsid w:val="00346D52"/>
    <w:rsid w:val="00346E69"/>
    <w:rsid w:val="00347956"/>
    <w:rsid w:val="0035030F"/>
    <w:rsid w:val="003504E7"/>
    <w:rsid w:val="00350C95"/>
    <w:rsid w:val="00351273"/>
    <w:rsid w:val="003516DC"/>
    <w:rsid w:val="00351E39"/>
    <w:rsid w:val="00351F2F"/>
    <w:rsid w:val="00352899"/>
    <w:rsid w:val="00352EF7"/>
    <w:rsid w:val="00353101"/>
    <w:rsid w:val="0035323B"/>
    <w:rsid w:val="0035353E"/>
    <w:rsid w:val="003537E7"/>
    <w:rsid w:val="003538AC"/>
    <w:rsid w:val="00353914"/>
    <w:rsid w:val="00353CB9"/>
    <w:rsid w:val="003540A9"/>
    <w:rsid w:val="003541AF"/>
    <w:rsid w:val="003541F7"/>
    <w:rsid w:val="003543B8"/>
    <w:rsid w:val="0035458C"/>
    <w:rsid w:val="0035471B"/>
    <w:rsid w:val="00355FD9"/>
    <w:rsid w:val="00356657"/>
    <w:rsid w:val="0035702D"/>
    <w:rsid w:val="003574FD"/>
    <w:rsid w:val="00357F3E"/>
    <w:rsid w:val="00360333"/>
    <w:rsid w:val="0036095C"/>
    <w:rsid w:val="003613A4"/>
    <w:rsid w:val="00361781"/>
    <w:rsid w:val="00361B7F"/>
    <w:rsid w:val="00362BCE"/>
    <w:rsid w:val="00363C34"/>
    <w:rsid w:val="003642F8"/>
    <w:rsid w:val="003643D0"/>
    <w:rsid w:val="003645EE"/>
    <w:rsid w:val="003649B3"/>
    <w:rsid w:val="003658A7"/>
    <w:rsid w:val="00365AC9"/>
    <w:rsid w:val="00365D0E"/>
    <w:rsid w:val="00366CDB"/>
    <w:rsid w:val="0036718D"/>
    <w:rsid w:val="00367352"/>
    <w:rsid w:val="0036742C"/>
    <w:rsid w:val="00367604"/>
    <w:rsid w:val="00367B25"/>
    <w:rsid w:val="00367F76"/>
    <w:rsid w:val="00370A8F"/>
    <w:rsid w:val="003710CC"/>
    <w:rsid w:val="003716D8"/>
    <w:rsid w:val="0037204D"/>
    <w:rsid w:val="00373713"/>
    <w:rsid w:val="00374299"/>
    <w:rsid w:val="0037473C"/>
    <w:rsid w:val="00374ECC"/>
    <w:rsid w:val="00375FED"/>
    <w:rsid w:val="00376487"/>
    <w:rsid w:val="00376D46"/>
    <w:rsid w:val="00377940"/>
    <w:rsid w:val="003779F4"/>
    <w:rsid w:val="00380154"/>
    <w:rsid w:val="003808DA"/>
    <w:rsid w:val="00381F4A"/>
    <w:rsid w:val="003827CB"/>
    <w:rsid w:val="00382B61"/>
    <w:rsid w:val="003835B8"/>
    <w:rsid w:val="00384197"/>
    <w:rsid w:val="0038445B"/>
    <w:rsid w:val="003847A6"/>
    <w:rsid w:val="0038485D"/>
    <w:rsid w:val="00384DCB"/>
    <w:rsid w:val="003853CA"/>
    <w:rsid w:val="00385E6F"/>
    <w:rsid w:val="0038627C"/>
    <w:rsid w:val="0038661C"/>
    <w:rsid w:val="003867DF"/>
    <w:rsid w:val="00387108"/>
    <w:rsid w:val="00387248"/>
    <w:rsid w:val="00387655"/>
    <w:rsid w:val="00387798"/>
    <w:rsid w:val="003877FB"/>
    <w:rsid w:val="00387834"/>
    <w:rsid w:val="00390181"/>
    <w:rsid w:val="003905AF"/>
    <w:rsid w:val="00390882"/>
    <w:rsid w:val="00390E1F"/>
    <w:rsid w:val="003914AF"/>
    <w:rsid w:val="00391AC6"/>
    <w:rsid w:val="00391BC8"/>
    <w:rsid w:val="00391C44"/>
    <w:rsid w:val="003938CE"/>
    <w:rsid w:val="00393930"/>
    <w:rsid w:val="00394626"/>
    <w:rsid w:val="003948FD"/>
    <w:rsid w:val="00394FE3"/>
    <w:rsid w:val="003950A6"/>
    <w:rsid w:val="0039528B"/>
    <w:rsid w:val="00396A14"/>
    <w:rsid w:val="00396A89"/>
    <w:rsid w:val="00396CA0"/>
    <w:rsid w:val="00396F7C"/>
    <w:rsid w:val="00397F17"/>
    <w:rsid w:val="003A09B6"/>
    <w:rsid w:val="003A100A"/>
    <w:rsid w:val="003A1116"/>
    <w:rsid w:val="003A15DD"/>
    <w:rsid w:val="003A167F"/>
    <w:rsid w:val="003A1CEB"/>
    <w:rsid w:val="003A29C7"/>
    <w:rsid w:val="003A2B7B"/>
    <w:rsid w:val="003A2C0F"/>
    <w:rsid w:val="003A2CC0"/>
    <w:rsid w:val="003A2E7B"/>
    <w:rsid w:val="003A31AB"/>
    <w:rsid w:val="003A31E2"/>
    <w:rsid w:val="003A3325"/>
    <w:rsid w:val="003A3482"/>
    <w:rsid w:val="003A3BA3"/>
    <w:rsid w:val="003A4020"/>
    <w:rsid w:val="003A41D5"/>
    <w:rsid w:val="003A41E6"/>
    <w:rsid w:val="003A52F7"/>
    <w:rsid w:val="003A5730"/>
    <w:rsid w:val="003A5C58"/>
    <w:rsid w:val="003A6073"/>
    <w:rsid w:val="003A6FFB"/>
    <w:rsid w:val="003A7CE1"/>
    <w:rsid w:val="003A7E83"/>
    <w:rsid w:val="003A7FBE"/>
    <w:rsid w:val="003B057C"/>
    <w:rsid w:val="003B0786"/>
    <w:rsid w:val="003B1770"/>
    <w:rsid w:val="003B1D1F"/>
    <w:rsid w:val="003B1FE0"/>
    <w:rsid w:val="003B2BC4"/>
    <w:rsid w:val="003B2F1A"/>
    <w:rsid w:val="003B3424"/>
    <w:rsid w:val="003B39C8"/>
    <w:rsid w:val="003B3A58"/>
    <w:rsid w:val="003B4B49"/>
    <w:rsid w:val="003B4E53"/>
    <w:rsid w:val="003B5444"/>
    <w:rsid w:val="003B6516"/>
    <w:rsid w:val="003B67FE"/>
    <w:rsid w:val="003B6857"/>
    <w:rsid w:val="003B6D59"/>
    <w:rsid w:val="003B7170"/>
    <w:rsid w:val="003B7EDE"/>
    <w:rsid w:val="003B7FD0"/>
    <w:rsid w:val="003C021E"/>
    <w:rsid w:val="003C02A3"/>
    <w:rsid w:val="003C07C2"/>
    <w:rsid w:val="003C0DF5"/>
    <w:rsid w:val="003C0E7C"/>
    <w:rsid w:val="003C1091"/>
    <w:rsid w:val="003C11E2"/>
    <w:rsid w:val="003C13FD"/>
    <w:rsid w:val="003C181A"/>
    <w:rsid w:val="003C1886"/>
    <w:rsid w:val="003C212B"/>
    <w:rsid w:val="003C21CC"/>
    <w:rsid w:val="003C2778"/>
    <w:rsid w:val="003C2C6D"/>
    <w:rsid w:val="003C2FC3"/>
    <w:rsid w:val="003C323A"/>
    <w:rsid w:val="003C34AF"/>
    <w:rsid w:val="003C352D"/>
    <w:rsid w:val="003C3AB8"/>
    <w:rsid w:val="003C4E60"/>
    <w:rsid w:val="003C5501"/>
    <w:rsid w:val="003C5BCD"/>
    <w:rsid w:val="003C62B7"/>
    <w:rsid w:val="003C66C3"/>
    <w:rsid w:val="003C6BA3"/>
    <w:rsid w:val="003C710C"/>
    <w:rsid w:val="003C7743"/>
    <w:rsid w:val="003C7941"/>
    <w:rsid w:val="003C7D73"/>
    <w:rsid w:val="003D0A4A"/>
    <w:rsid w:val="003D0B8A"/>
    <w:rsid w:val="003D145D"/>
    <w:rsid w:val="003D14BF"/>
    <w:rsid w:val="003D15D2"/>
    <w:rsid w:val="003D1B7B"/>
    <w:rsid w:val="003D2D59"/>
    <w:rsid w:val="003D3F30"/>
    <w:rsid w:val="003D4B82"/>
    <w:rsid w:val="003D6852"/>
    <w:rsid w:val="003D6A05"/>
    <w:rsid w:val="003D6CF6"/>
    <w:rsid w:val="003D7062"/>
    <w:rsid w:val="003D72A9"/>
    <w:rsid w:val="003D7390"/>
    <w:rsid w:val="003D7850"/>
    <w:rsid w:val="003D7BDD"/>
    <w:rsid w:val="003E0039"/>
    <w:rsid w:val="003E0203"/>
    <w:rsid w:val="003E03DB"/>
    <w:rsid w:val="003E0404"/>
    <w:rsid w:val="003E09F5"/>
    <w:rsid w:val="003E0D5D"/>
    <w:rsid w:val="003E2ACA"/>
    <w:rsid w:val="003E2BCD"/>
    <w:rsid w:val="003E2ECE"/>
    <w:rsid w:val="003E31DE"/>
    <w:rsid w:val="003E33A8"/>
    <w:rsid w:val="003E349A"/>
    <w:rsid w:val="003E3A99"/>
    <w:rsid w:val="003E3FF7"/>
    <w:rsid w:val="003E4485"/>
    <w:rsid w:val="003E48BB"/>
    <w:rsid w:val="003E4CD7"/>
    <w:rsid w:val="003E4F5E"/>
    <w:rsid w:val="003E5ADB"/>
    <w:rsid w:val="003E6422"/>
    <w:rsid w:val="003E686E"/>
    <w:rsid w:val="003E69FA"/>
    <w:rsid w:val="003E6D12"/>
    <w:rsid w:val="003E756D"/>
    <w:rsid w:val="003E7637"/>
    <w:rsid w:val="003F02EB"/>
    <w:rsid w:val="003F05BB"/>
    <w:rsid w:val="003F09FE"/>
    <w:rsid w:val="003F0A53"/>
    <w:rsid w:val="003F20E9"/>
    <w:rsid w:val="003F23C6"/>
    <w:rsid w:val="003F2E56"/>
    <w:rsid w:val="003F3079"/>
    <w:rsid w:val="003F4C1C"/>
    <w:rsid w:val="003F574C"/>
    <w:rsid w:val="003F5DF7"/>
    <w:rsid w:val="003F5F16"/>
    <w:rsid w:val="003F665C"/>
    <w:rsid w:val="003F68C0"/>
    <w:rsid w:val="003F6E4F"/>
    <w:rsid w:val="003F7CBD"/>
    <w:rsid w:val="004001C4"/>
    <w:rsid w:val="00400D5D"/>
    <w:rsid w:val="0040146A"/>
    <w:rsid w:val="0040160B"/>
    <w:rsid w:val="00401734"/>
    <w:rsid w:val="004018EB"/>
    <w:rsid w:val="00401C3E"/>
    <w:rsid w:val="00401C58"/>
    <w:rsid w:val="0040253D"/>
    <w:rsid w:val="00402FC8"/>
    <w:rsid w:val="00403140"/>
    <w:rsid w:val="00403D25"/>
    <w:rsid w:val="0040450A"/>
    <w:rsid w:val="004050B4"/>
    <w:rsid w:val="004053F6"/>
    <w:rsid w:val="00405897"/>
    <w:rsid w:val="00405F5B"/>
    <w:rsid w:val="00406BDC"/>
    <w:rsid w:val="0040726D"/>
    <w:rsid w:val="004078E3"/>
    <w:rsid w:val="00410820"/>
    <w:rsid w:val="00411A76"/>
    <w:rsid w:val="00411E99"/>
    <w:rsid w:val="00411F45"/>
    <w:rsid w:val="004120C2"/>
    <w:rsid w:val="00412683"/>
    <w:rsid w:val="00412937"/>
    <w:rsid w:val="00412C74"/>
    <w:rsid w:val="00412ECC"/>
    <w:rsid w:val="00413724"/>
    <w:rsid w:val="00414077"/>
    <w:rsid w:val="004145ED"/>
    <w:rsid w:val="00414DB5"/>
    <w:rsid w:val="00414FFA"/>
    <w:rsid w:val="004154FA"/>
    <w:rsid w:val="004157FE"/>
    <w:rsid w:val="004165C0"/>
    <w:rsid w:val="004165F5"/>
    <w:rsid w:val="00416880"/>
    <w:rsid w:val="00416B79"/>
    <w:rsid w:val="0041726A"/>
    <w:rsid w:val="004173F4"/>
    <w:rsid w:val="00420334"/>
    <w:rsid w:val="00420362"/>
    <w:rsid w:val="00420ADF"/>
    <w:rsid w:val="004215FE"/>
    <w:rsid w:val="004216B1"/>
    <w:rsid w:val="004219D3"/>
    <w:rsid w:val="00422FD1"/>
    <w:rsid w:val="004232E4"/>
    <w:rsid w:val="00423947"/>
    <w:rsid w:val="00423DDF"/>
    <w:rsid w:val="00424224"/>
    <w:rsid w:val="004242DB"/>
    <w:rsid w:val="00424F2C"/>
    <w:rsid w:val="004260A3"/>
    <w:rsid w:val="004260EC"/>
    <w:rsid w:val="00426A97"/>
    <w:rsid w:val="00426D00"/>
    <w:rsid w:val="0042701B"/>
    <w:rsid w:val="00427CB8"/>
    <w:rsid w:val="00430155"/>
    <w:rsid w:val="00432E39"/>
    <w:rsid w:val="00433FC7"/>
    <w:rsid w:val="004342AE"/>
    <w:rsid w:val="00434BAF"/>
    <w:rsid w:val="00435005"/>
    <w:rsid w:val="004357DA"/>
    <w:rsid w:val="00436A48"/>
    <w:rsid w:val="00440376"/>
    <w:rsid w:val="0044082C"/>
    <w:rsid w:val="00440CA8"/>
    <w:rsid w:val="00440D70"/>
    <w:rsid w:val="0044181B"/>
    <w:rsid w:val="00442176"/>
    <w:rsid w:val="00442A92"/>
    <w:rsid w:val="00442D4F"/>
    <w:rsid w:val="0044327C"/>
    <w:rsid w:val="0044452E"/>
    <w:rsid w:val="0044486E"/>
    <w:rsid w:val="00444F3B"/>
    <w:rsid w:val="00445590"/>
    <w:rsid w:val="00445AE6"/>
    <w:rsid w:val="00446439"/>
    <w:rsid w:val="00446A54"/>
    <w:rsid w:val="00446B7C"/>
    <w:rsid w:val="00446EB6"/>
    <w:rsid w:val="00447248"/>
    <w:rsid w:val="00447965"/>
    <w:rsid w:val="0044798F"/>
    <w:rsid w:val="004506CD"/>
    <w:rsid w:val="004507FE"/>
    <w:rsid w:val="004511BC"/>
    <w:rsid w:val="004516C6"/>
    <w:rsid w:val="0045247E"/>
    <w:rsid w:val="00452899"/>
    <w:rsid w:val="00452A28"/>
    <w:rsid w:val="004530B0"/>
    <w:rsid w:val="00453584"/>
    <w:rsid w:val="004536DB"/>
    <w:rsid w:val="00453DC5"/>
    <w:rsid w:val="00454EDB"/>
    <w:rsid w:val="00454F0F"/>
    <w:rsid w:val="00455BEE"/>
    <w:rsid w:val="00455C51"/>
    <w:rsid w:val="00455F63"/>
    <w:rsid w:val="00455FB3"/>
    <w:rsid w:val="0045625D"/>
    <w:rsid w:val="00456475"/>
    <w:rsid w:val="00456766"/>
    <w:rsid w:val="004569BC"/>
    <w:rsid w:val="00456C8D"/>
    <w:rsid w:val="004571A9"/>
    <w:rsid w:val="004577AA"/>
    <w:rsid w:val="00457C5C"/>
    <w:rsid w:val="0046015E"/>
    <w:rsid w:val="004601EC"/>
    <w:rsid w:val="004605D3"/>
    <w:rsid w:val="00460DF0"/>
    <w:rsid w:val="00460F07"/>
    <w:rsid w:val="0046176C"/>
    <w:rsid w:val="004624C6"/>
    <w:rsid w:val="00463276"/>
    <w:rsid w:val="004634F7"/>
    <w:rsid w:val="00463A93"/>
    <w:rsid w:val="004640F9"/>
    <w:rsid w:val="00464118"/>
    <w:rsid w:val="00464DCB"/>
    <w:rsid w:val="0046503F"/>
    <w:rsid w:val="00465721"/>
    <w:rsid w:val="00466A25"/>
    <w:rsid w:val="00466BF8"/>
    <w:rsid w:val="004673D4"/>
    <w:rsid w:val="0046755A"/>
    <w:rsid w:val="00467F9A"/>
    <w:rsid w:val="00467FDC"/>
    <w:rsid w:val="0047043B"/>
    <w:rsid w:val="00470601"/>
    <w:rsid w:val="004708B7"/>
    <w:rsid w:val="0047091B"/>
    <w:rsid w:val="00470FB9"/>
    <w:rsid w:val="0047129C"/>
    <w:rsid w:val="004714E4"/>
    <w:rsid w:val="00471696"/>
    <w:rsid w:val="00472882"/>
    <w:rsid w:val="004734CC"/>
    <w:rsid w:val="00473FD4"/>
    <w:rsid w:val="004746D6"/>
    <w:rsid w:val="004749D7"/>
    <w:rsid w:val="00474E3E"/>
    <w:rsid w:val="0047521D"/>
    <w:rsid w:val="0047579E"/>
    <w:rsid w:val="004757A5"/>
    <w:rsid w:val="00476C2E"/>
    <w:rsid w:val="00477946"/>
    <w:rsid w:val="00477E91"/>
    <w:rsid w:val="00480A7A"/>
    <w:rsid w:val="00481353"/>
    <w:rsid w:val="004814A2"/>
    <w:rsid w:val="00481C17"/>
    <w:rsid w:val="00481CCA"/>
    <w:rsid w:val="00481FD5"/>
    <w:rsid w:val="004825B3"/>
    <w:rsid w:val="00482C48"/>
    <w:rsid w:val="004836DF"/>
    <w:rsid w:val="00484141"/>
    <w:rsid w:val="004844D8"/>
    <w:rsid w:val="00484633"/>
    <w:rsid w:val="004847BC"/>
    <w:rsid w:val="00484961"/>
    <w:rsid w:val="00486913"/>
    <w:rsid w:val="00487230"/>
    <w:rsid w:val="00487413"/>
    <w:rsid w:val="004874A8"/>
    <w:rsid w:val="0048775A"/>
    <w:rsid w:val="00487B56"/>
    <w:rsid w:val="00487DE1"/>
    <w:rsid w:val="00487EA8"/>
    <w:rsid w:val="004901FC"/>
    <w:rsid w:val="00490B49"/>
    <w:rsid w:val="00491595"/>
    <w:rsid w:val="00491ECA"/>
    <w:rsid w:val="0049226C"/>
    <w:rsid w:val="0049232D"/>
    <w:rsid w:val="00492ECE"/>
    <w:rsid w:val="00493599"/>
    <w:rsid w:val="00493B59"/>
    <w:rsid w:val="00493BB4"/>
    <w:rsid w:val="00493FC2"/>
    <w:rsid w:val="00494401"/>
    <w:rsid w:val="00494599"/>
    <w:rsid w:val="00494F2B"/>
    <w:rsid w:val="00495333"/>
    <w:rsid w:val="004963D9"/>
    <w:rsid w:val="00496819"/>
    <w:rsid w:val="004968CF"/>
    <w:rsid w:val="00496A59"/>
    <w:rsid w:val="00497786"/>
    <w:rsid w:val="00497CD8"/>
    <w:rsid w:val="004A02FE"/>
    <w:rsid w:val="004A03AA"/>
    <w:rsid w:val="004A0BFB"/>
    <w:rsid w:val="004A10CF"/>
    <w:rsid w:val="004A1E3F"/>
    <w:rsid w:val="004A1EEB"/>
    <w:rsid w:val="004A29C8"/>
    <w:rsid w:val="004A2E11"/>
    <w:rsid w:val="004A3CED"/>
    <w:rsid w:val="004A404F"/>
    <w:rsid w:val="004A42F1"/>
    <w:rsid w:val="004A4707"/>
    <w:rsid w:val="004A4CC8"/>
    <w:rsid w:val="004A4D15"/>
    <w:rsid w:val="004A5E2B"/>
    <w:rsid w:val="004A5F57"/>
    <w:rsid w:val="004A6074"/>
    <w:rsid w:val="004A61FB"/>
    <w:rsid w:val="004A6732"/>
    <w:rsid w:val="004A6941"/>
    <w:rsid w:val="004A6A31"/>
    <w:rsid w:val="004A6F33"/>
    <w:rsid w:val="004A72AB"/>
    <w:rsid w:val="004A7B99"/>
    <w:rsid w:val="004B093F"/>
    <w:rsid w:val="004B0ADA"/>
    <w:rsid w:val="004B191D"/>
    <w:rsid w:val="004B223A"/>
    <w:rsid w:val="004B24E1"/>
    <w:rsid w:val="004B2AD3"/>
    <w:rsid w:val="004B310D"/>
    <w:rsid w:val="004B42BE"/>
    <w:rsid w:val="004B42E3"/>
    <w:rsid w:val="004B4559"/>
    <w:rsid w:val="004B4B1F"/>
    <w:rsid w:val="004B50D1"/>
    <w:rsid w:val="004B5172"/>
    <w:rsid w:val="004B5226"/>
    <w:rsid w:val="004B5A7F"/>
    <w:rsid w:val="004B64EC"/>
    <w:rsid w:val="004B6791"/>
    <w:rsid w:val="004B680A"/>
    <w:rsid w:val="004B7BC4"/>
    <w:rsid w:val="004C048E"/>
    <w:rsid w:val="004C04E0"/>
    <w:rsid w:val="004C05A6"/>
    <w:rsid w:val="004C0D78"/>
    <w:rsid w:val="004C0E50"/>
    <w:rsid w:val="004C0EC9"/>
    <w:rsid w:val="004C1214"/>
    <w:rsid w:val="004C1366"/>
    <w:rsid w:val="004C160D"/>
    <w:rsid w:val="004C18CE"/>
    <w:rsid w:val="004C1E35"/>
    <w:rsid w:val="004C2282"/>
    <w:rsid w:val="004C271F"/>
    <w:rsid w:val="004C33B3"/>
    <w:rsid w:val="004C3623"/>
    <w:rsid w:val="004C375B"/>
    <w:rsid w:val="004C37AA"/>
    <w:rsid w:val="004C38F2"/>
    <w:rsid w:val="004C3BCB"/>
    <w:rsid w:val="004C3F54"/>
    <w:rsid w:val="004C436F"/>
    <w:rsid w:val="004C46F4"/>
    <w:rsid w:val="004C48FF"/>
    <w:rsid w:val="004C5267"/>
    <w:rsid w:val="004C581B"/>
    <w:rsid w:val="004C5B31"/>
    <w:rsid w:val="004C5B48"/>
    <w:rsid w:val="004C5BC9"/>
    <w:rsid w:val="004C7228"/>
    <w:rsid w:val="004C73F5"/>
    <w:rsid w:val="004C740C"/>
    <w:rsid w:val="004D04F1"/>
    <w:rsid w:val="004D1194"/>
    <w:rsid w:val="004D12EE"/>
    <w:rsid w:val="004D1384"/>
    <w:rsid w:val="004D1AEE"/>
    <w:rsid w:val="004D23AA"/>
    <w:rsid w:val="004D25B2"/>
    <w:rsid w:val="004D2792"/>
    <w:rsid w:val="004D32A5"/>
    <w:rsid w:val="004D3374"/>
    <w:rsid w:val="004D3611"/>
    <w:rsid w:val="004D3616"/>
    <w:rsid w:val="004D3686"/>
    <w:rsid w:val="004D3718"/>
    <w:rsid w:val="004D3A39"/>
    <w:rsid w:val="004D3D6E"/>
    <w:rsid w:val="004D412A"/>
    <w:rsid w:val="004D4292"/>
    <w:rsid w:val="004D4A38"/>
    <w:rsid w:val="004D592F"/>
    <w:rsid w:val="004D5C94"/>
    <w:rsid w:val="004D6271"/>
    <w:rsid w:val="004D66E5"/>
    <w:rsid w:val="004D67A8"/>
    <w:rsid w:val="004D76D9"/>
    <w:rsid w:val="004D7D25"/>
    <w:rsid w:val="004D7FC6"/>
    <w:rsid w:val="004D7FF5"/>
    <w:rsid w:val="004E00BB"/>
    <w:rsid w:val="004E0217"/>
    <w:rsid w:val="004E0AC5"/>
    <w:rsid w:val="004E0DF6"/>
    <w:rsid w:val="004E2347"/>
    <w:rsid w:val="004E2422"/>
    <w:rsid w:val="004E24B2"/>
    <w:rsid w:val="004E2C24"/>
    <w:rsid w:val="004E2C86"/>
    <w:rsid w:val="004E386A"/>
    <w:rsid w:val="004E3A0A"/>
    <w:rsid w:val="004E40E4"/>
    <w:rsid w:val="004E4364"/>
    <w:rsid w:val="004E626A"/>
    <w:rsid w:val="004E67C9"/>
    <w:rsid w:val="004E7885"/>
    <w:rsid w:val="004E7D8C"/>
    <w:rsid w:val="004E7EA4"/>
    <w:rsid w:val="004F0248"/>
    <w:rsid w:val="004F1416"/>
    <w:rsid w:val="004F1956"/>
    <w:rsid w:val="004F1D82"/>
    <w:rsid w:val="004F1E5B"/>
    <w:rsid w:val="004F20D7"/>
    <w:rsid w:val="004F29C1"/>
    <w:rsid w:val="004F2A42"/>
    <w:rsid w:val="004F36E4"/>
    <w:rsid w:val="004F3C52"/>
    <w:rsid w:val="004F4330"/>
    <w:rsid w:val="004F49D2"/>
    <w:rsid w:val="004F536D"/>
    <w:rsid w:val="004F57C7"/>
    <w:rsid w:val="004F5A8B"/>
    <w:rsid w:val="004F6057"/>
    <w:rsid w:val="004F6BA1"/>
    <w:rsid w:val="004F6C55"/>
    <w:rsid w:val="004F6E14"/>
    <w:rsid w:val="004F74C8"/>
    <w:rsid w:val="004F75E4"/>
    <w:rsid w:val="004F76D2"/>
    <w:rsid w:val="004F7BAE"/>
    <w:rsid w:val="004F7EAD"/>
    <w:rsid w:val="00500087"/>
    <w:rsid w:val="005001C0"/>
    <w:rsid w:val="00500426"/>
    <w:rsid w:val="005006E9"/>
    <w:rsid w:val="00501C31"/>
    <w:rsid w:val="00501DAD"/>
    <w:rsid w:val="0050333D"/>
    <w:rsid w:val="005040DD"/>
    <w:rsid w:val="005049DA"/>
    <w:rsid w:val="0050506A"/>
    <w:rsid w:val="005061D1"/>
    <w:rsid w:val="005065E8"/>
    <w:rsid w:val="00506661"/>
    <w:rsid w:val="00506A72"/>
    <w:rsid w:val="00507579"/>
    <w:rsid w:val="00507691"/>
    <w:rsid w:val="005076A1"/>
    <w:rsid w:val="005078DA"/>
    <w:rsid w:val="005078ED"/>
    <w:rsid w:val="00507A23"/>
    <w:rsid w:val="00507D25"/>
    <w:rsid w:val="00510527"/>
    <w:rsid w:val="00510ED3"/>
    <w:rsid w:val="00511F6A"/>
    <w:rsid w:val="0051246D"/>
    <w:rsid w:val="0051287D"/>
    <w:rsid w:val="00512908"/>
    <w:rsid w:val="00512D57"/>
    <w:rsid w:val="00513063"/>
    <w:rsid w:val="00514B31"/>
    <w:rsid w:val="00514F32"/>
    <w:rsid w:val="0051506A"/>
    <w:rsid w:val="00515497"/>
    <w:rsid w:val="00516115"/>
    <w:rsid w:val="005162D4"/>
    <w:rsid w:val="0051636E"/>
    <w:rsid w:val="0051643E"/>
    <w:rsid w:val="00516999"/>
    <w:rsid w:val="00516CE9"/>
    <w:rsid w:val="0052028B"/>
    <w:rsid w:val="005204D0"/>
    <w:rsid w:val="0052079F"/>
    <w:rsid w:val="005215CA"/>
    <w:rsid w:val="00522454"/>
    <w:rsid w:val="0052299C"/>
    <w:rsid w:val="00523E29"/>
    <w:rsid w:val="00523FDB"/>
    <w:rsid w:val="00526152"/>
    <w:rsid w:val="00526A18"/>
    <w:rsid w:val="00526C7D"/>
    <w:rsid w:val="00526CFC"/>
    <w:rsid w:val="005276EE"/>
    <w:rsid w:val="005277B4"/>
    <w:rsid w:val="00527E12"/>
    <w:rsid w:val="00527E5F"/>
    <w:rsid w:val="00531031"/>
    <w:rsid w:val="00531685"/>
    <w:rsid w:val="00531B19"/>
    <w:rsid w:val="00531E6B"/>
    <w:rsid w:val="0053207C"/>
    <w:rsid w:val="005326B1"/>
    <w:rsid w:val="00532720"/>
    <w:rsid w:val="005328C1"/>
    <w:rsid w:val="00532AAD"/>
    <w:rsid w:val="00532C3A"/>
    <w:rsid w:val="00532CC7"/>
    <w:rsid w:val="00532FFA"/>
    <w:rsid w:val="005339C1"/>
    <w:rsid w:val="00533FED"/>
    <w:rsid w:val="0053402E"/>
    <w:rsid w:val="005342C9"/>
    <w:rsid w:val="005344AC"/>
    <w:rsid w:val="00534628"/>
    <w:rsid w:val="005346D5"/>
    <w:rsid w:val="00534739"/>
    <w:rsid w:val="00535E73"/>
    <w:rsid w:val="005364C1"/>
    <w:rsid w:val="00536A60"/>
    <w:rsid w:val="00537632"/>
    <w:rsid w:val="00537E35"/>
    <w:rsid w:val="005402FC"/>
    <w:rsid w:val="00540570"/>
    <w:rsid w:val="00540B65"/>
    <w:rsid w:val="00541088"/>
    <w:rsid w:val="00541636"/>
    <w:rsid w:val="00541684"/>
    <w:rsid w:val="005416F5"/>
    <w:rsid w:val="005419F0"/>
    <w:rsid w:val="005427CB"/>
    <w:rsid w:val="0054294C"/>
    <w:rsid w:val="005429AC"/>
    <w:rsid w:val="00543B85"/>
    <w:rsid w:val="00543D6E"/>
    <w:rsid w:val="005440CC"/>
    <w:rsid w:val="00544BFB"/>
    <w:rsid w:val="00545103"/>
    <w:rsid w:val="00545174"/>
    <w:rsid w:val="00545A96"/>
    <w:rsid w:val="00546AB9"/>
    <w:rsid w:val="00546F79"/>
    <w:rsid w:val="00547029"/>
    <w:rsid w:val="005473A6"/>
    <w:rsid w:val="005475E2"/>
    <w:rsid w:val="00547E02"/>
    <w:rsid w:val="00547E08"/>
    <w:rsid w:val="00550262"/>
    <w:rsid w:val="005505AA"/>
    <w:rsid w:val="00550993"/>
    <w:rsid w:val="00551971"/>
    <w:rsid w:val="00551E2F"/>
    <w:rsid w:val="00552612"/>
    <w:rsid w:val="00552754"/>
    <w:rsid w:val="00553248"/>
    <w:rsid w:val="005535FF"/>
    <w:rsid w:val="00553C73"/>
    <w:rsid w:val="00553EAA"/>
    <w:rsid w:val="0055416A"/>
    <w:rsid w:val="00554786"/>
    <w:rsid w:val="005548AC"/>
    <w:rsid w:val="00554AD8"/>
    <w:rsid w:val="00554BC2"/>
    <w:rsid w:val="00555342"/>
    <w:rsid w:val="00555E59"/>
    <w:rsid w:val="00556C7A"/>
    <w:rsid w:val="005579E8"/>
    <w:rsid w:val="005600EF"/>
    <w:rsid w:val="0056036F"/>
    <w:rsid w:val="0056039F"/>
    <w:rsid w:val="00560E2B"/>
    <w:rsid w:val="00561313"/>
    <w:rsid w:val="0056146B"/>
    <w:rsid w:val="005624BE"/>
    <w:rsid w:val="005626CD"/>
    <w:rsid w:val="00562C2D"/>
    <w:rsid w:val="00562FD3"/>
    <w:rsid w:val="0056331F"/>
    <w:rsid w:val="0056333F"/>
    <w:rsid w:val="005634B5"/>
    <w:rsid w:val="00563873"/>
    <w:rsid w:val="00563EF9"/>
    <w:rsid w:val="00563FDC"/>
    <w:rsid w:val="00564332"/>
    <w:rsid w:val="00564F23"/>
    <w:rsid w:val="0056593E"/>
    <w:rsid w:val="00565E00"/>
    <w:rsid w:val="00565E25"/>
    <w:rsid w:val="00565F86"/>
    <w:rsid w:val="0056623B"/>
    <w:rsid w:val="005664C0"/>
    <w:rsid w:val="005667EB"/>
    <w:rsid w:val="00567227"/>
    <w:rsid w:val="005677E8"/>
    <w:rsid w:val="00567D52"/>
    <w:rsid w:val="0057033A"/>
    <w:rsid w:val="005703AE"/>
    <w:rsid w:val="005704F6"/>
    <w:rsid w:val="005708F0"/>
    <w:rsid w:val="00570DD6"/>
    <w:rsid w:val="0057189B"/>
    <w:rsid w:val="00571D4A"/>
    <w:rsid w:val="00572852"/>
    <w:rsid w:val="005730F6"/>
    <w:rsid w:val="005739B3"/>
    <w:rsid w:val="0057403C"/>
    <w:rsid w:val="00574393"/>
    <w:rsid w:val="005752DA"/>
    <w:rsid w:val="0057575E"/>
    <w:rsid w:val="00575BC6"/>
    <w:rsid w:val="00575D38"/>
    <w:rsid w:val="00576CFF"/>
    <w:rsid w:val="00577D28"/>
    <w:rsid w:val="00580C98"/>
    <w:rsid w:val="00580EE2"/>
    <w:rsid w:val="0058169C"/>
    <w:rsid w:val="00581A98"/>
    <w:rsid w:val="0058213B"/>
    <w:rsid w:val="00582463"/>
    <w:rsid w:val="0058257E"/>
    <w:rsid w:val="00582815"/>
    <w:rsid w:val="00582E4A"/>
    <w:rsid w:val="005835DA"/>
    <w:rsid w:val="00583759"/>
    <w:rsid w:val="00583ADF"/>
    <w:rsid w:val="00584631"/>
    <w:rsid w:val="005849F1"/>
    <w:rsid w:val="00584E80"/>
    <w:rsid w:val="005852AF"/>
    <w:rsid w:val="00585866"/>
    <w:rsid w:val="005858D0"/>
    <w:rsid w:val="00585926"/>
    <w:rsid w:val="005859BD"/>
    <w:rsid w:val="00585AB6"/>
    <w:rsid w:val="00586006"/>
    <w:rsid w:val="005865B2"/>
    <w:rsid w:val="00587729"/>
    <w:rsid w:val="00587830"/>
    <w:rsid w:val="00587B9E"/>
    <w:rsid w:val="00590009"/>
    <w:rsid w:val="005904F7"/>
    <w:rsid w:val="00590AE2"/>
    <w:rsid w:val="00590B84"/>
    <w:rsid w:val="00590BC4"/>
    <w:rsid w:val="005915DD"/>
    <w:rsid w:val="0059191A"/>
    <w:rsid w:val="00591A50"/>
    <w:rsid w:val="005925EE"/>
    <w:rsid w:val="00592BA1"/>
    <w:rsid w:val="00592C66"/>
    <w:rsid w:val="00593233"/>
    <w:rsid w:val="005932F9"/>
    <w:rsid w:val="00593E37"/>
    <w:rsid w:val="00593E48"/>
    <w:rsid w:val="0059437D"/>
    <w:rsid w:val="00594B6D"/>
    <w:rsid w:val="00595661"/>
    <w:rsid w:val="0059579E"/>
    <w:rsid w:val="00595FA3"/>
    <w:rsid w:val="005965DE"/>
    <w:rsid w:val="00596947"/>
    <w:rsid w:val="00596DB0"/>
    <w:rsid w:val="00597524"/>
    <w:rsid w:val="00597FA1"/>
    <w:rsid w:val="005A0034"/>
    <w:rsid w:val="005A03FF"/>
    <w:rsid w:val="005A060F"/>
    <w:rsid w:val="005A0C2B"/>
    <w:rsid w:val="005A11CE"/>
    <w:rsid w:val="005A16C6"/>
    <w:rsid w:val="005A22BE"/>
    <w:rsid w:val="005A4176"/>
    <w:rsid w:val="005A491F"/>
    <w:rsid w:val="005A49C1"/>
    <w:rsid w:val="005A4D29"/>
    <w:rsid w:val="005A553B"/>
    <w:rsid w:val="005A5E6E"/>
    <w:rsid w:val="005A66A2"/>
    <w:rsid w:val="005A6904"/>
    <w:rsid w:val="005A6DD4"/>
    <w:rsid w:val="005A743C"/>
    <w:rsid w:val="005A7496"/>
    <w:rsid w:val="005A77E4"/>
    <w:rsid w:val="005A78FA"/>
    <w:rsid w:val="005A7BFD"/>
    <w:rsid w:val="005B06CC"/>
    <w:rsid w:val="005B06F7"/>
    <w:rsid w:val="005B0AF3"/>
    <w:rsid w:val="005B0FBB"/>
    <w:rsid w:val="005B10DE"/>
    <w:rsid w:val="005B15F8"/>
    <w:rsid w:val="005B1716"/>
    <w:rsid w:val="005B19DC"/>
    <w:rsid w:val="005B1E2B"/>
    <w:rsid w:val="005B2864"/>
    <w:rsid w:val="005B2AE2"/>
    <w:rsid w:val="005B2C28"/>
    <w:rsid w:val="005B2E11"/>
    <w:rsid w:val="005B339A"/>
    <w:rsid w:val="005B3512"/>
    <w:rsid w:val="005B3B37"/>
    <w:rsid w:val="005B3BB3"/>
    <w:rsid w:val="005B3CB4"/>
    <w:rsid w:val="005B3CE6"/>
    <w:rsid w:val="005B3E6C"/>
    <w:rsid w:val="005B4272"/>
    <w:rsid w:val="005B4C78"/>
    <w:rsid w:val="005B4E3D"/>
    <w:rsid w:val="005B50D5"/>
    <w:rsid w:val="005B5D9E"/>
    <w:rsid w:val="005B6C89"/>
    <w:rsid w:val="005B6F24"/>
    <w:rsid w:val="005B7670"/>
    <w:rsid w:val="005C079F"/>
    <w:rsid w:val="005C0A55"/>
    <w:rsid w:val="005C1443"/>
    <w:rsid w:val="005C146D"/>
    <w:rsid w:val="005C1692"/>
    <w:rsid w:val="005C16E0"/>
    <w:rsid w:val="005C1800"/>
    <w:rsid w:val="005C1C54"/>
    <w:rsid w:val="005C2374"/>
    <w:rsid w:val="005C309C"/>
    <w:rsid w:val="005C3767"/>
    <w:rsid w:val="005C3E1F"/>
    <w:rsid w:val="005C4285"/>
    <w:rsid w:val="005C4385"/>
    <w:rsid w:val="005C45F9"/>
    <w:rsid w:val="005C515D"/>
    <w:rsid w:val="005C552D"/>
    <w:rsid w:val="005C55F0"/>
    <w:rsid w:val="005C5692"/>
    <w:rsid w:val="005C5AB9"/>
    <w:rsid w:val="005C641A"/>
    <w:rsid w:val="005C7BD2"/>
    <w:rsid w:val="005C7E83"/>
    <w:rsid w:val="005D06B5"/>
    <w:rsid w:val="005D0896"/>
    <w:rsid w:val="005D0A5D"/>
    <w:rsid w:val="005D1DFE"/>
    <w:rsid w:val="005D1F65"/>
    <w:rsid w:val="005D2215"/>
    <w:rsid w:val="005D2281"/>
    <w:rsid w:val="005D277C"/>
    <w:rsid w:val="005D36AF"/>
    <w:rsid w:val="005D3B5C"/>
    <w:rsid w:val="005D4128"/>
    <w:rsid w:val="005D420A"/>
    <w:rsid w:val="005D45FE"/>
    <w:rsid w:val="005D48AC"/>
    <w:rsid w:val="005D4BA5"/>
    <w:rsid w:val="005D4FB4"/>
    <w:rsid w:val="005D5034"/>
    <w:rsid w:val="005D558C"/>
    <w:rsid w:val="005D57CD"/>
    <w:rsid w:val="005D5AAD"/>
    <w:rsid w:val="005D5D0E"/>
    <w:rsid w:val="005D62D2"/>
    <w:rsid w:val="005D63DF"/>
    <w:rsid w:val="005D6990"/>
    <w:rsid w:val="005D6C17"/>
    <w:rsid w:val="005E01A2"/>
    <w:rsid w:val="005E034F"/>
    <w:rsid w:val="005E05EB"/>
    <w:rsid w:val="005E0670"/>
    <w:rsid w:val="005E081A"/>
    <w:rsid w:val="005E0AFB"/>
    <w:rsid w:val="005E0D09"/>
    <w:rsid w:val="005E1208"/>
    <w:rsid w:val="005E1698"/>
    <w:rsid w:val="005E1B3F"/>
    <w:rsid w:val="005E21BC"/>
    <w:rsid w:val="005E295C"/>
    <w:rsid w:val="005E2C0F"/>
    <w:rsid w:val="005E2F05"/>
    <w:rsid w:val="005E329A"/>
    <w:rsid w:val="005E3623"/>
    <w:rsid w:val="005E390C"/>
    <w:rsid w:val="005E3980"/>
    <w:rsid w:val="005E3F84"/>
    <w:rsid w:val="005E415C"/>
    <w:rsid w:val="005E41CA"/>
    <w:rsid w:val="005E435A"/>
    <w:rsid w:val="005E4775"/>
    <w:rsid w:val="005E4A3F"/>
    <w:rsid w:val="005E4F28"/>
    <w:rsid w:val="005E5073"/>
    <w:rsid w:val="005E50BD"/>
    <w:rsid w:val="005E5351"/>
    <w:rsid w:val="005E5780"/>
    <w:rsid w:val="005E5B40"/>
    <w:rsid w:val="005E5C1B"/>
    <w:rsid w:val="005E62BF"/>
    <w:rsid w:val="005E6827"/>
    <w:rsid w:val="005E6D49"/>
    <w:rsid w:val="005E6F07"/>
    <w:rsid w:val="005E73A2"/>
    <w:rsid w:val="005E73E2"/>
    <w:rsid w:val="005E78FB"/>
    <w:rsid w:val="005F0F46"/>
    <w:rsid w:val="005F122D"/>
    <w:rsid w:val="005F124B"/>
    <w:rsid w:val="005F1C9C"/>
    <w:rsid w:val="005F20EF"/>
    <w:rsid w:val="005F27AF"/>
    <w:rsid w:val="005F283A"/>
    <w:rsid w:val="005F2D38"/>
    <w:rsid w:val="005F3667"/>
    <w:rsid w:val="005F387A"/>
    <w:rsid w:val="005F3B76"/>
    <w:rsid w:val="005F3B7E"/>
    <w:rsid w:val="005F48E1"/>
    <w:rsid w:val="005F4A10"/>
    <w:rsid w:val="005F4B10"/>
    <w:rsid w:val="005F4C8B"/>
    <w:rsid w:val="005F4F58"/>
    <w:rsid w:val="005F59B9"/>
    <w:rsid w:val="005F5A70"/>
    <w:rsid w:val="005F5B7B"/>
    <w:rsid w:val="005F5DE6"/>
    <w:rsid w:val="005F6CE4"/>
    <w:rsid w:val="005F6E30"/>
    <w:rsid w:val="005F70C5"/>
    <w:rsid w:val="005F720A"/>
    <w:rsid w:val="005F7414"/>
    <w:rsid w:val="006001C5"/>
    <w:rsid w:val="006010DD"/>
    <w:rsid w:val="006024FE"/>
    <w:rsid w:val="006026DC"/>
    <w:rsid w:val="00602B5F"/>
    <w:rsid w:val="006036DE"/>
    <w:rsid w:val="00603D9D"/>
    <w:rsid w:val="006047F8"/>
    <w:rsid w:val="00606077"/>
    <w:rsid w:val="0060701A"/>
    <w:rsid w:val="0060728A"/>
    <w:rsid w:val="00607361"/>
    <w:rsid w:val="00607626"/>
    <w:rsid w:val="006078BB"/>
    <w:rsid w:val="00607D2B"/>
    <w:rsid w:val="00607E3D"/>
    <w:rsid w:val="00607F2C"/>
    <w:rsid w:val="006100ED"/>
    <w:rsid w:val="00610263"/>
    <w:rsid w:val="006108A5"/>
    <w:rsid w:val="00611129"/>
    <w:rsid w:val="0061140B"/>
    <w:rsid w:val="006117B8"/>
    <w:rsid w:val="006119B6"/>
    <w:rsid w:val="00611A5C"/>
    <w:rsid w:val="00613090"/>
    <w:rsid w:val="00613429"/>
    <w:rsid w:val="0061356B"/>
    <w:rsid w:val="006146A2"/>
    <w:rsid w:val="006146CA"/>
    <w:rsid w:val="006149CC"/>
    <w:rsid w:val="00614A5D"/>
    <w:rsid w:val="00615119"/>
    <w:rsid w:val="00615492"/>
    <w:rsid w:val="00615DE5"/>
    <w:rsid w:val="00615F41"/>
    <w:rsid w:val="00616797"/>
    <w:rsid w:val="00616B97"/>
    <w:rsid w:val="00617468"/>
    <w:rsid w:val="00617522"/>
    <w:rsid w:val="006176C0"/>
    <w:rsid w:val="00617BEF"/>
    <w:rsid w:val="00620476"/>
    <w:rsid w:val="00620EFC"/>
    <w:rsid w:val="00621BF2"/>
    <w:rsid w:val="00621CD9"/>
    <w:rsid w:val="00622013"/>
    <w:rsid w:val="00622439"/>
    <w:rsid w:val="00622F49"/>
    <w:rsid w:val="006234DB"/>
    <w:rsid w:val="00623904"/>
    <w:rsid w:val="00623B5A"/>
    <w:rsid w:val="00623C91"/>
    <w:rsid w:val="006240E5"/>
    <w:rsid w:val="00624613"/>
    <w:rsid w:val="00624630"/>
    <w:rsid w:val="00624695"/>
    <w:rsid w:val="00625459"/>
    <w:rsid w:val="0062611C"/>
    <w:rsid w:val="0062638F"/>
    <w:rsid w:val="00626CD9"/>
    <w:rsid w:val="00626D46"/>
    <w:rsid w:val="00626FFF"/>
    <w:rsid w:val="0062751D"/>
    <w:rsid w:val="00627DCB"/>
    <w:rsid w:val="006302A7"/>
    <w:rsid w:val="00630715"/>
    <w:rsid w:val="00630798"/>
    <w:rsid w:val="00630922"/>
    <w:rsid w:val="00630AB1"/>
    <w:rsid w:val="00630BCC"/>
    <w:rsid w:val="00630D65"/>
    <w:rsid w:val="00630F49"/>
    <w:rsid w:val="0063122F"/>
    <w:rsid w:val="00631868"/>
    <w:rsid w:val="00631EE3"/>
    <w:rsid w:val="00632082"/>
    <w:rsid w:val="0063249B"/>
    <w:rsid w:val="006324D5"/>
    <w:rsid w:val="00632AA0"/>
    <w:rsid w:val="006331E2"/>
    <w:rsid w:val="006334DE"/>
    <w:rsid w:val="006335A3"/>
    <w:rsid w:val="0063361C"/>
    <w:rsid w:val="00633D8A"/>
    <w:rsid w:val="00633FE4"/>
    <w:rsid w:val="00634323"/>
    <w:rsid w:val="006343CC"/>
    <w:rsid w:val="00634449"/>
    <w:rsid w:val="00634A26"/>
    <w:rsid w:val="006354AA"/>
    <w:rsid w:val="00635A04"/>
    <w:rsid w:val="00635D41"/>
    <w:rsid w:val="00635F72"/>
    <w:rsid w:val="00636265"/>
    <w:rsid w:val="0063651B"/>
    <w:rsid w:val="0063659B"/>
    <w:rsid w:val="0063735B"/>
    <w:rsid w:val="006376F7"/>
    <w:rsid w:val="00637DAD"/>
    <w:rsid w:val="00637F8F"/>
    <w:rsid w:val="0064035B"/>
    <w:rsid w:val="006409AB"/>
    <w:rsid w:val="00641AE2"/>
    <w:rsid w:val="00641CDC"/>
    <w:rsid w:val="006421FD"/>
    <w:rsid w:val="006422F7"/>
    <w:rsid w:val="006424AB"/>
    <w:rsid w:val="006424D1"/>
    <w:rsid w:val="00642572"/>
    <w:rsid w:val="00642E98"/>
    <w:rsid w:val="006431F6"/>
    <w:rsid w:val="00643213"/>
    <w:rsid w:val="00643374"/>
    <w:rsid w:val="00643650"/>
    <w:rsid w:val="00643B03"/>
    <w:rsid w:val="00643ECE"/>
    <w:rsid w:val="00643F27"/>
    <w:rsid w:val="006444CB"/>
    <w:rsid w:val="00644AB6"/>
    <w:rsid w:val="00644F7A"/>
    <w:rsid w:val="00645A0F"/>
    <w:rsid w:val="0064612C"/>
    <w:rsid w:val="00646589"/>
    <w:rsid w:val="00646C5D"/>
    <w:rsid w:val="006470A3"/>
    <w:rsid w:val="00647230"/>
    <w:rsid w:val="00647380"/>
    <w:rsid w:val="006474D2"/>
    <w:rsid w:val="006475B8"/>
    <w:rsid w:val="00647F6C"/>
    <w:rsid w:val="00650178"/>
    <w:rsid w:val="0065143A"/>
    <w:rsid w:val="00652892"/>
    <w:rsid w:val="0065317B"/>
    <w:rsid w:val="006532DA"/>
    <w:rsid w:val="00653BC2"/>
    <w:rsid w:val="00654410"/>
    <w:rsid w:val="00654AAE"/>
    <w:rsid w:val="00654B78"/>
    <w:rsid w:val="00654BAD"/>
    <w:rsid w:val="00654E66"/>
    <w:rsid w:val="00655028"/>
    <w:rsid w:val="0065569E"/>
    <w:rsid w:val="00657053"/>
    <w:rsid w:val="00657A8C"/>
    <w:rsid w:val="00657C13"/>
    <w:rsid w:val="00657E24"/>
    <w:rsid w:val="00660175"/>
    <w:rsid w:val="00660549"/>
    <w:rsid w:val="006605CB"/>
    <w:rsid w:val="00661055"/>
    <w:rsid w:val="006616EF"/>
    <w:rsid w:val="0066194E"/>
    <w:rsid w:val="00661C46"/>
    <w:rsid w:val="00661F0F"/>
    <w:rsid w:val="00662CF3"/>
    <w:rsid w:val="00663E03"/>
    <w:rsid w:val="00663E64"/>
    <w:rsid w:val="00664908"/>
    <w:rsid w:val="0066557B"/>
    <w:rsid w:val="00665F04"/>
    <w:rsid w:val="00665F8B"/>
    <w:rsid w:val="00666F10"/>
    <w:rsid w:val="00667667"/>
    <w:rsid w:val="00667B5B"/>
    <w:rsid w:val="00667B85"/>
    <w:rsid w:val="006709D4"/>
    <w:rsid w:val="00670B50"/>
    <w:rsid w:val="00672322"/>
    <w:rsid w:val="00672416"/>
    <w:rsid w:val="0067274B"/>
    <w:rsid w:val="006728BF"/>
    <w:rsid w:val="00672D9B"/>
    <w:rsid w:val="0067308D"/>
    <w:rsid w:val="00673FA6"/>
    <w:rsid w:val="0067414C"/>
    <w:rsid w:val="00674FE5"/>
    <w:rsid w:val="00675388"/>
    <w:rsid w:val="006753B5"/>
    <w:rsid w:val="0067583B"/>
    <w:rsid w:val="0067645A"/>
    <w:rsid w:val="00676549"/>
    <w:rsid w:val="00676712"/>
    <w:rsid w:val="00676F91"/>
    <w:rsid w:val="00677A9A"/>
    <w:rsid w:val="00677D27"/>
    <w:rsid w:val="00677EEF"/>
    <w:rsid w:val="006803FC"/>
    <w:rsid w:val="006817BE"/>
    <w:rsid w:val="00681BE2"/>
    <w:rsid w:val="006820A2"/>
    <w:rsid w:val="006826DD"/>
    <w:rsid w:val="00682B2B"/>
    <w:rsid w:val="00682B34"/>
    <w:rsid w:val="00682D5F"/>
    <w:rsid w:val="00682DF3"/>
    <w:rsid w:val="00682E47"/>
    <w:rsid w:val="00683B15"/>
    <w:rsid w:val="0068453F"/>
    <w:rsid w:val="00684B8D"/>
    <w:rsid w:val="00684DB9"/>
    <w:rsid w:val="00685196"/>
    <w:rsid w:val="00685390"/>
    <w:rsid w:val="006853C5"/>
    <w:rsid w:val="00685FE9"/>
    <w:rsid w:val="0068683A"/>
    <w:rsid w:val="00686BA3"/>
    <w:rsid w:val="00686E55"/>
    <w:rsid w:val="00687BB1"/>
    <w:rsid w:val="00687EE8"/>
    <w:rsid w:val="006907B9"/>
    <w:rsid w:val="00690CA7"/>
    <w:rsid w:val="00690F77"/>
    <w:rsid w:val="0069107C"/>
    <w:rsid w:val="006910BB"/>
    <w:rsid w:val="00691535"/>
    <w:rsid w:val="006919DB"/>
    <w:rsid w:val="00692B6D"/>
    <w:rsid w:val="00692BFB"/>
    <w:rsid w:val="00693A66"/>
    <w:rsid w:val="006942DE"/>
    <w:rsid w:val="0069462A"/>
    <w:rsid w:val="00694998"/>
    <w:rsid w:val="00695067"/>
    <w:rsid w:val="006952D2"/>
    <w:rsid w:val="00695365"/>
    <w:rsid w:val="006953AA"/>
    <w:rsid w:val="00695554"/>
    <w:rsid w:val="00695AF5"/>
    <w:rsid w:val="00695CB3"/>
    <w:rsid w:val="00696670"/>
    <w:rsid w:val="0069667E"/>
    <w:rsid w:val="00696CA1"/>
    <w:rsid w:val="00696F93"/>
    <w:rsid w:val="00697035"/>
    <w:rsid w:val="00697245"/>
    <w:rsid w:val="006973B7"/>
    <w:rsid w:val="006975E1"/>
    <w:rsid w:val="00697D6C"/>
    <w:rsid w:val="006A06C1"/>
    <w:rsid w:val="006A06C5"/>
    <w:rsid w:val="006A0A27"/>
    <w:rsid w:val="006A0A90"/>
    <w:rsid w:val="006A0B9B"/>
    <w:rsid w:val="006A1415"/>
    <w:rsid w:val="006A201F"/>
    <w:rsid w:val="006A2230"/>
    <w:rsid w:val="006A2251"/>
    <w:rsid w:val="006A2456"/>
    <w:rsid w:val="006A270E"/>
    <w:rsid w:val="006A2FD7"/>
    <w:rsid w:val="006A34A5"/>
    <w:rsid w:val="006A39CD"/>
    <w:rsid w:val="006A48F3"/>
    <w:rsid w:val="006A4FDC"/>
    <w:rsid w:val="006A54AB"/>
    <w:rsid w:val="006A55B2"/>
    <w:rsid w:val="006A5C69"/>
    <w:rsid w:val="006A62A1"/>
    <w:rsid w:val="006A692C"/>
    <w:rsid w:val="006A6DA7"/>
    <w:rsid w:val="006A7F1C"/>
    <w:rsid w:val="006B03D8"/>
    <w:rsid w:val="006B054E"/>
    <w:rsid w:val="006B07D8"/>
    <w:rsid w:val="006B1832"/>
    <w:rsid w:val="006B2FF8"/>
    <w:rsid w:val="006B3256"/>
    <w:rsid w:val="006B375D"/>
    <w:rsid w:val="006B37C4"/>
    <w:rsid w:val="006B41B3"/>
    <w:rsid w:val="006B437B"/>
    <w:rsid w:val="006B4914"/>
    <w:rsid w:val="006B55A6"/>
    <w:rsid w:val="006B5696"/>
    <w:rsid w:val="006B56A0"/>
    <w:rsid w:val="006B5F14"/>
    <w:rsid w:val="006B61FE"/>
    <w:rsid w:val="006B66B8"/>
    <w:rsid w:val="006B6C2E"/>
    <w:rsid w:val="006B6CE6"/>
    <w:rsid w:val="006B6D39"/>
    <w:rsid w:val="006B6EFE"/>
    <w:rsid w:val="006B7218"/>
    <w:rsid w:val="006B7CC4"/>
    <w:rsid w:val="006C0758"/>
    <w:rsid w:val="006C0B97"/>
    <w:rsid w:val="006C0D95"/>
    <w:rsid w:val="006C0E07"/>
    <w:rsid w:val="006C125A"/>
    <w:rsid w:val="006C1457"/>
    <w:rsid w:val="006C2114"/>
    <w:rsid w:val="006C255B"/>
    <w:rsid w:val="006C2E5F"/>
    <w:rsid w:val="006C304C"/>
    <w:rsid w:val="006C3611"/>
    <w:rsid w:val="006C3976"/>
    <w:rsid w:val="006C3D3E"/>
    <w:rsid w:val="006C420A"/>
    <w:rsid w:val="006C4999"/>
    <w:rsid w:val="006C4D31"/>
    <w:rsid w:val="006C5700"/>
    <w:rsid w:val="006C5E63"/>
    <w:rsid w:val="006C69AC"/>
    <w:rsid w:val="006C70BA"/>
    <w:rsid w:val="006C76F7"/>
    <w:rsid w:val="006D0554"/>
    <w:rsid w:val="006D0661"/>
    <w:rsid w:val="006D07BA"/>
    <w:rsid w:val="006D07D4"/>
    <w:rsid w:val="006D1586"/>
    <w:rsid w:val="006D1F9F"/>
    <w:rsid w:val="006D27AA"/>
    <w:rsid w:val="006D2BA7"/>
    <w:rsid w:val="006D2F87"/>
    <w:rsid w:val="006D3D3A"/>
    <w:rsid w:val="006D4A80"/>
    <w:rsid w:val="006D4AB9"/>
    <w:rsid w:val="006D4B98"/>
    <w:rsid w:val="006D50F4"/>
    <w:rsid w:val="006D540C"/>
    <w:rsid w:val="006D55B5"/>
    <w:rsid w:val="006D5C8E"/>
    <w:rsid w:val="006D622D"/>
    <w:rsid w:val="006D6684"/>
    <w:rsid w:val="006D668A"/>
    <w:rsid w:val="006D6A95"/>
    <w:rsid w:val="006D6E9D"/>
    <w:rsid w:val="006D7453"/>
    <w:rsid w:val="006D7549"/>
    <w:rsid w:val="006D7AA9"/>
    <w:rsid w:val="006D7B06"/>
    <w:rsid w:val="006D7BB2"/>
    <w:rsid w:val="006D7D64"/>
    <w:rsid w:val="006E015F"/>
    <w:rsid w:val="006E0182"/>
    <w:rsid w:val="006E06EA"/>
    <w:rsid w:val="006E0CB4"/>
    <w:rsid w:val="006E19DF"/>
    <w:rsid w:val="006E1C3C"/>
    <w:rsid w:val="006E1E99"/>
    <w:rsid w:val="006E1EC3"/>
    <w:rsid w:val="006E2ACD"/>
    <w:rsid w:val="006E3A14"/>
    <w:rsid w:val="006E3AB3"/>
    <w:rsid w:val="006E4057"/>
    <w:rsid w:val="006E53AF"/>
    <w:rsid w:val="006E5ABD"/>
    <w:rsid w:val="006E662A"/>
    <w:rsid w:val="006E69D3"/>
    <w:rsid w:val="006E6CA6"/>
    <w:rsid w:val="006E6EC4"/>
    <w:rsid w:val="006E713B"/>
    <w:rsid w:val="006E7A29"/>
    <w:rsid w:val="006E7C35"/>
    <w:rsid w:val="006F004F"/>
    <w:rsid w:val="006F02F1"/>
    <w:rsid w:val="006F0667"/>
    <w:rsid w:val="006F09D1"/>
    <w:rsid w:val="006F11D6"/>
    <w:rsid w:val="006F1228"/>
    <w:rsid w:val="006F1E78"/>
    <w:rsid w:val="006F1EF4"/>
    <w:rsid w:val="006F1F46"/>
    <w:rsid w:val="006F1F4E"/>
    <w:rsid w:val="006F2245"/>
    <w:rsid w:val="006F292D"/>
    <w:rsid w:val="006F2F00"/>
    <w:rsid w:val="006F30B5"/>
    <w:rsid w:val="006F32A2"/>
    <w:rsid w:val="006F4022"/>
    <w:rsid w:val="006F476D"/>
    <w:rsid w:val="006F4802"/>
    <w:rsid w:val="006F49FA"/>
    <w:rsid w:val="006F4BFB"/>
    <w:rsid w:val="006F4FA7"/>
    <w:rsid w:val="006F5086"/>
    <w:rsid w:val="006F50A4"/>
    <w:rsid w:val="006F51A9"/>
    <w:rsid w:val="006F51FA"/>
    <w:rsid w:val="006F5261"/>
    <w:rsid w:val="006F5508"/>
    <w:rsid w:val="006F6538"/>
    <w:rsid w:val="006F7171"/>
    <w:rsid w:val="006F7496"/>
    <w:rsid w:val="006F7997"/>
    <w:rsid w:val="006F7A72"/>
    <w:rsid w:val="006F7B7C"/>
    <w:rsid w:val="007003CC"/>
    <w:rsid w:val="0070065A"/>
    <w:rsid w:val="007006B4"/>
    <w:rsid w:val="00702833"/>
    <w:rsid w:val="007028C2"/>
    <w:rsid w:val="0070344C"/>
    <w:rsid w:val="00703E65"/>
    <w:rsid w:val="00704657"/>
    <w:rsid w:val="0070476A"/>
    <w:rsid w:val="00704901"/>
    <w:rsid w:val="007049C2"/>
    <w:rsid w:val="007054DA"/>
    <w:rsid w:val="00707759"/>
    <w:rsid w:val="00707BBA"/>
    <w:rsid w:val="00710615"/>
    <w:rsid w:val="00710E45"/>
    <w:rsid w:val="0071136D"/>
    <w:rsid w:val="007116E5"/>
    <w:rsid w:val="007121D4"/>
    <w:rsid w:val="0071286A"/>
    <w:rsid w:val="00712D74"/>
    <w:rsid w:val="00712D93"/>
    <w:rsid w:val="00712F49"/>
    <w:rsid w:val="00713053"/>
    <w:rsid w:val="00714DA2"/>
    <w:rsid w:val="00714EBB"/>
    <w:rsid w:val="007153D3"/>
    <w:rsid w:val="00715DE1"/>
    <w:rsid w:val="00716286"/>
    <w:rsid w:val="00716306"/>
    <w:rsid w:val="007164E2"/>
    <w:rsid w:val="0071688F"/>
    <w:rsid w:val="00716ACC"/>
    <w:rsid w:val="00716DAE"/>
    <w:rsid w:val="007174CD"/>
    <w:rsid w:val="0071754D"/>
    <w:rsid w:val="007176BF"/>
    <w:rsid w:val="00717757"/>
    <w:rsid w:val="0072029E"/>
    <w:rsid w:val="00720385"/>
    <w:rsid w:val="0072052F"/>
    <w:rsid w:val="007208EF"/>
    <w:rsid w:val="007218D9"/>
    <w:rsid w:val="00722A54"/>
    <w:rsid w:val="00722A90"/>
    <w:rsid w:val="0072493D"/>
    <w:rsid w:val="0072499B"/>
    <w:rsid w:val="00725085"/>
    <w:rsid w:val="00725E27"/>
    <w:rsid w:val="007262A5"/>
    <w:rsid w:val="007264B1"/>
    <w:rsid w:val="007264CB"/>
    <w:rsid w:val="0072680C"/>
    <w:rsid w:val="007279CD"/>
    <w:rsid w:val="00727EBE"/>
    <w:rsid w:val="00727F31"/>
    <w:rsid w:val="00730887"/>
    <w:rsid w:val="00731934"/>
    <w:rsid w:val="00731A79"/>
    <w:rsid w:val="007321C7"/>
    <w:rsid w:val="00732236"/>
    <w:rsid w:val="00732379"/>
    <w:rsid w:val="0073248A"/>
    <w:rsid w:val="007327CC"/>
    <w:rsid w:val="00732A46"/>
    <w:rsid w:val="00732B05"/>
    <w:rsid w:val="00732D28"/>
    <w:rsid w:val="00733021"/>
    <w:rsid w:val="007332B1"/>
    <w:rsid w:val="007341E6"/>
    <w:rsid w:val="00734F0E"/>
    <w:rsid w:val="007350EA"/>
    <w:rsid w:val="00735377"/>
    <w:rsid w:val="00735984"/>
    <w:rsid w:val="00735DF3"/>
    <w:rsid w:val="00735E26"/>
    <w:rsid w:val="00736225"/>
    <w:rsid w:val="0073622A"/>
    <w:rsid w:val="0073685B"/>
    <w:rsid w:val="007369AC"/>
    <w:rsid w:val="00736A35"/>
    <w:rsid w:val="00736AC7"/>
    <w:rsid w:val="007376C1"/>
    <w:rsid w:val="00737ADC"/>
    <w:rsid w:val="007405AD"/>
    <w:rsid w:val="00740A2D"/>
    <w:rsid w:val="00740BFB"/>
    <w:rsid w:val="00740F72"/>
    <w:rsid w:val="00741930"/>
    <w:rsid w:val="00741A7E"/>
    <w:rsid w:val="00741F07"/>
    <w:rsid w:val="007420ED"/>
    <w:rsid w:val="007425E4"/>
    <w:rsid w:val="00742ACA"/>
    <w:rsid w:val="00742D0C"/>
    <w:rsid w:val="00742DBD"/>
    <w:rsid w:val="00743F78"/>
    <w:rsid w:val="00744697"/>
    <w:rsid w:val="007448D0"/>
    <w:rsid w:val="0074499E"/>
    <w:rsid w:val="0074549A"/>
    <w:rsid w:val="007455EA"/>
    <w:rsid w:val="007463B8"/>
    <w:rsid w:val="007463EC"/>
    <w:rsid w:val="00746560"/>
    <w:rsid w:val="00746598"/>
    <w:rsid w:val="00746A16"/>
    <w:rsid w:val="00747025"/>
    <w:rsid w:val="00747320"/>
    <w:rsid w:val="00750B02"/>
    <w:rsid w:val="007511AD"/>
    <w:rsid w:val="00753181"/>
    <w:rsid w:val="00753C62"/>
    <w:rsid w:val="00753F80"/>
    <w:rsid w:val="00754CB2"/>
    <w:rsid w:val="00754F38"/>
    <w:rsid w:val="00755055"/>
    <w:rsid w:val="007555F2"/>
    <w:rsid w:val="00755739"/>
    <w:rsid w:val="007603A5"/>
    <w:rsid w:val="0076097B"/>
    <w:rsid w:val="00760B98"/>
    <w:rsid w:val="00760C60"/>
    <w:rsid w:val="007618BD"/>
    <w:rsid w:val="00761F3A"/>
    <w:rsid w:val="0076203D"/>
    <w:rsid w:val="007621A3"/>
    <w:rsid w:val="007631D5"/>
    <w:rsid w:val="007633DD"/>
    <w:rsid w:val="007638AD"/>
    <w:rsid w:val="00763A54"/>
    <w:rsid w:val="00763BED"/>
    <w:rsid w:val="007640AA"/>
    <w:rsid w:val="007641E7"/>
    <w:rsid w:val="00764477"/>
    <w:rsid w:val="00764983"/>
    <w:rsid w:val="00764DFC"/>
    <w:rsid w:val="00764F42"/>
    <w:rsid w:val="0076588C"/>
    <w:rsid w:val="00765C30"/>
    <w:rsid w:val="00765D20"/>
    <w:rsid w:val="00766083"/>
    <w:rsid w:val="007662AA"/>
    <w:rsid w:val="00766AC4"/>
    <w:rsid w:val="00766AF9"/>
    <w:rsid w:val="0076727B"/>
    <w:rsid w:val="0076797D"/>
    <w:rsid w:val="00767C63"/>
    <w:rsid w:val="007702BE"/>
    <w:rsid w:val="007703CC"/>
    <w:rsid w:val="0077078D"/>
    <w:rsid w:val="0077139D"/>
    <w:rsid w:val="00771946"/>
    <w:rsid w:val="007720DD"/>
    <w:rsid w:val="00772755"/>
    <w:rsid w:val="00774109"/>
    <w:rsid w:val="007742FB"/>
    <w:rsid w:val="00774CEE"/>
    <w:rsid w:val="00774D06"/>
    <w:rsid w:val="007759CD"/>
    <w:rsid w:val="007765AC"/>
    <w:rsid w:val="00776A0E"/>
    <w:rsid w:val="0077714D"/>
    <w:rsid w:val="00777240"/>
    <w:rsid w:val="00777C51"/>
    <w:rsid w:val="00777C74"/>
    <w:rsid w:val="00780176"/>
    <w:rsid w:val="007802A8"/>
    <w:rsid w:val="00780960"/>
    <w:rsid w:val="00780D11"/>
    <w:rsid w:val="00780EF9"/>
    <w:rsid w:val="0078179E"/>
    <w:rsid w:val="007818BD"/>
    <w:rsid w:val="00781ADE"/>
    <w:rsid w:val="00781F93"/>
    <w:rsid w:val="00782339"/>
    <w:rsid w:val="0078254B"/>
    <w:rsid w:val="00782680"/>
    <w:rsid w:val="0078298C"/>
    <w:rsid w:val="00783B0A"/>
    <w:rsid w:val="00784451"/>
    <w:rsid w:val="00784529"/>
    <w:rsid w:val="00784C2F"/>
    <w:rsid w:val="00784C4C"/>
    <w:rsid w:val="00784E97"/>
    <w:rsid w:val="00785C19"/>
    <w:rsid w:val="00786EFC"/>
    <w:rsid w:val="00787292"/>
    <w:rsid w:val="00787799"/>
    <w:rsid w:val="007878B6"/>
    <w:rsid w:val="0079020F"/>
    <w:rsid w:val="00790517"/>
    <w:rsid w:val="007905E2"/>
    <w:rsid w:val="00790F18"/>
    <w:rsid w:val="0079141D"/>
    <w:rsid w:val="00791C42"/>
    <w:rsid w:val="00791F8A"/>
    <w:rsid w:val="00791F93"/>
    <w:rsid w:val="00792544"/>
    <w:rsid w:val="00792AF1"/>
    <w:rsid w:val="00792B6A"/>
    <w:rsid w:val="0079359F"/>
    <w:rsid w:val="0079452C"/>
    <w:rsid w:val="00794DA3"/>
    <w:rsid w:val="00794E30"/>
    <w:rsid w:val="00795CE5"/>
    <w:rsid w:val="00796044"/>
    <w:rsid w:val="0079626A"/>
    <w:rsid w:val="0079684E"/>
    <w:rsid w:val="00796AF3"/>
    <w:rsid w:val="00796E11"/>
    <w:rsid w:val="007970F7"/>
    <w:rsid w:val="007A1607"/>
    <w:rsid w:val="007A1685"/>
    <w:rsid w:val="007A1FE4"/>
    <w:rsid w:val="007A23AA"/>
    <w:rsid w:val="007A27CE"/>
    <w:rsid w:val="007A29A4"/>
    <w:rsid w:val="007A3700"/>
    <w:rsid w:val="007A3725"/>
    <w:rsid w:val="007A38CB"/>
    <w:rsid w:val="007A38E0"/>
    <w:rsid w:val="007A3AB6"/>
    <w:rsid w:val="007A3C5D"/>
    <w:rsid w:val="007A40C9"/>
    <w:rsid w:val="007A4198"/>
    <w:rsid w:val="007A4309"/>
    <w:rsid w:val="007A44C5"/>
    <w:rsid w:val="007A51D7"/>
    <w:rsid w:val="007A523A"/>
    <w:rsid w:val="007A57B7"/>
    <w:rsid w:val="007A58AD"/>
    <w:rsid w:val="007A5CB7"/>
    <w:rsid w:val="007A5CD2"/>
    <w:rsid w:val="007A5EA7"/>
    <w:rsid w:val="007A6273"/>
    <w:rsid w:val="007A6982"/>
    <w:rsid w:val="007A6A2A"/>
    <w:rsid w:val="007A6D6E"/>
    <w:rsid w:val="007A77FF"/>
    <w:rsid w:val="007A79C9"/>
    <w:rsid w:val="007A7C89"/>
    <w:rsid w:val="007B0563"/>
    <w:rsid w:val="007B0860"/>
    <w:rsid w:val="007B0C71"/>
    <w:rsid w:val="007B1532"/>
    <w:rsid w:val="007B262D"/>
    <w:rsid w:val="007B279A"/>
    <w:rsid w:val="007B280F"/>
    <w:rsid w:val="007B5A67"/>
    <w:rsid w:val="007B5D6C"/>
    <w:rsid w:val="007B5E30"/>
    <w:rsid w:val="007B617B"/>
    <w:rsid w:val="007B632B"/>
    <w:rsid w:val="007B692D"/>
    <w:rsid w:val="007B69A8"/>
    <w:rsid w:val="007B7EB7"/>
    <w:rsid w:val="007C11B6"/>
    <w:rsid w:val="007C1BD6"/>
    <w:rsid w:val="007C1C5E"/>
    <w:rsid w:val="007C1DC1"/>
    <w:rsid w:val="007C24E1"/>
    <w:rsid w:val="007C2836"/>
    <w:rsid w:val="007C3305"/>
    <w:rsid w:val="007C3948"/>
    <w:rsid w:val="007C4062"/>
    <w:rsid w:val="007C44F4"/>
    <w:rsid w:val="007C4FB2"/>
    <w:rsid w:val="007C546D"/>
    <w:rsid w:val="007C6440"/>
    <w:rsid w:val="007C6AA1"/>
    <w:rsid w:val="007C767F"/>
    <w:rsid w:val="007C795A"/>
    <w:rsid w:val="007C7A25"/>
    <w:rsid w:val="007C7AD3"/>
    <w:rsid w:val="007C7CE8"/>
    <w:rsid w:val="007D0029"/>
    <w:rsid w:val="007D05BB"/>
    <w:rsid w:val="007D0E8C"/>
    <w:rsid w:val="007D0F81"/>
    <w:rsid w:val="007D135C"/>
    <w:rsid w:val="007D1739"/>
    <w:rsid w:val="007D1BDB"/>
    <w:rsid w:val="007D26DF"/>
    <w:rsid w:val="007D3081"/>
    <w:rsid w:val="007D582E"/>
    <w:rsid w:val="007D65BE"/>
    <w:rsid w:val="007D66FB"/>
    <w:rsid w:val="007D671B"/>
    <w:rsid w:val="007D6983"/>
    <w:rsid w:val="007D7D3C"/>
    <w:rsid w:val="007D7DEA"/>
    <w:rsid w:val="007E05AA"/>
    <w:rsid w:val="007E0AEF"/>
    <w:rsid w:val="007E0AFD"/>
    <w:rsid w:val="007E0FDD"/>
    <w:rsid w:val="007E1157"/>
    <w:rsid w:val="007E13FE"/>
    <w:rsid w:val="007E1436"/>
    <w:rsid w:val="007E2398"/>
    <w:rsid w:val="007E287F"/>
    <w:rsid w:val="007E2A8B"/>
    <w:rsid w:val="007E2CF1"/>
    <w:rsid w:val="007E3709"/>
    <w:rsid w:val="007E3789"/>
    <w:rsid w:val="007E3A01"/>
    <w:rsid w:val="007E3AF5"/>
    <w:rsid w:val="007E3B6E"/>
    <w:rsid w:val="007E4C55"/>
    <w:rsid w:val="007E4E39"/>
    <w:rsid w:val="007E51DC"/>
    <w:rsid w:val="007E6B73"/>
    <w:rsid w:val="007E6C8D"/>
    <w:rsid w:val="007E6E34"/>
    <w:rsid w:val="007E6FA6"/>
    <w:rsid w:val="007E70D8"/>
    <w:rsid w:val="007E7424"/>
    <w:rsid w:val="007E77A6"/>
    <w:rsid w:val="007F0AFF"/>
    <w:rsid w:val="007F0D5E"/>
    <w:rsid w:val="007F0F2D"/>
    <w:rsid w:val="007F15A7"/>
    <w:rsid w:val="007F1778"/>
    <w:rsid w:val="007F1822"/>
    <w:rsid w:val="007F1A34"/>
    <w:rsid w:val="007F1C8D"/>
    <w:rsid w:val="007F2DF0"/>
    <w:rsid w:val="007F30C4"/>
    <w:rsid w:val="007F3430"/>
    <w:rsid w:val="007F35E7"/>
    <w:rsid w:val="007F360E"/>
    <w:rsid w:val="007F36CD"/>
    <w:rsid w:val="007F3F50"/>
    <w:rsid w:val="007F44EF"/>
    <w:rsid w:val="007F4637"/>
    <w:rsid w:val="007F4917"/>
    <w:rsid w:val="007F4B21"/>
    <w:rsid w:val="007F4F61"/>
    <w:rsid w:val="007F692A"/>
    <w:rsid w:val="007F6B52"/>
    <w:rsid w:val="007F7A68"/>
    <w:rsid w:val="007F7B51"/>
    <w:rsid w:val="007F7D0E"/>
    <w:rsid w:val="00800544"/>
    <w:rsid w:val="0080088B"/>
    <w:rsid w:val="008009B8"/>
    <w:rsid w:val="008009CC"/>
    <w:rsid w:val="00800B22"/>
    <w:rsid w:val="008015C1"/>
    <w:rsid w:val="00801DD3"/>
    <w:rsid w:val="00802ABF"/>
    <w:rsid w:val="00802E51"/>
    <w:rsid w:val="008034D4"/>
    <w:rsid w:val="00803B65"/>
    <w:rsid w:val="00803F50"/>
    <w:rsid w:val="00803F88"/>
    <w:rsid w:val="0080400C"/>
    <w:rsid w:val="00804ED8"/>
    <w:rsid w:val="008066EC"/>
    <w:rsid w:val="008067AB"/>
    <w:rsid w:val="00806DFB"/>
    <w:rsid w:val="00806F10"/>
    <w:rsid w:val="0081038F"/>
    <w:rsid w:val="008107EC"/>
    <w:rsid w:val="00810F7A"/>
    <w:rsid w:val="00811EA9"/>
    <w:rsid w:val="00811FDA"/>
    <w:rsid w:val="00812C25"/>
    <w:rsid w:val="008131D3"/>
    <w:rsid w:val="0081330E"/>
    <w:rsid w:val="0081346B"/>
    <w:rsid w:val="00814F42"/>
    <w:rsid w:val="008161BA"/>
    <w:rsid w:val="008170CD"/>
    <w:rsid w:val="00817402"/>
    <w:rsid w:val="0082051A"/>
    <w:rsid w:val="00820627"/>
    <w:rsid w:val="00820E4F"/>
    <w:rsid w:val="00821308"/>
    <w:rsid w:val="00821607"/>
    <w:rsid w:val="00821CF7"/>
    <w:rsid w:val="008224FE"/>
    <w:rsid w:val="00822657"/>
    <w:rsid w:val="00822E5E"/>
    <w:rsid w:val="00822EB1"/>
    <w:rsid w:val="008239D2"/>
    <w:rsid w:val="00823CC4"/>
    <w:rsid w:val="00824AA2"/>
    <w:rsid w:val="00824F60"/>
    <w:rsid w:val="00825CBE"/>
    <w:rsid w:val="00825CD9"/>
    <w:rsid w:val="008261C9"/>
    <w:rsid w:val="00826688"/>
    <w:rsid w:val="0082677D"/>
    <w:rsid w:val="00826783"/>
    <w:rsid w:val="00826E5E"/>
    <w:rsid w:val="00827B4F"/>
    <w:rsid w:val="00827C4B"/>
    <w:rsid w:val="00830C30"/>
    <w:rsid w:val="0083114B"/>
    <w:rsid w:val="008311A1"/>
    <w:rsid w:val="00831355"/>
    <w:rsid w:val="0083140F"/>
    <w:rsid w:val="008316BF"/>
    <w:rsid w:val="00831820"/>
    <w:rsid w:val="00831BEB"/>
    <w:rsid w:val="00831CFA"/>
    <w:rsid w:val="00832027"/>
    <w:rsid w:val="00832F82"/>
    <w:rsid w:val="008333C1"/>
    <w:rsid w:val="00833480"/>
    <w:rsid w:val="0083404B"/>
    <w:rsid w:val="00834791"/>
    <w:rsid w:val="00834B34"/>
    <w:rsid w:val="008359FA"/>
    <w:rsid w:val="008366E1"/>
    <w:rsid w:val="00836D36"/>
    <w:rsid w:val="00836F41"/>
    <w:rsid w:val="00837472"/>
    <w:rsid w:val="008375E0"/>
    <w:rsid w:val="00837B54"/>
    <w:rsid w:val="00837EBD"/>
    <w:rsid w:val="00840746"/>
    <w:rsid w:val="00841175"/>
    <w:rsid w:val="0084146E"/>
    <w:rsid w:val="0084161A"/>
    <w:rsid w:val="00841AC8"/>
    <w:rsid w:val="00841D68"/>
    <w:rsid w:val="00842CB3"/>
    <w:rsid w:val="00842F7F"/>
    <w:rsid w:val="00843349"/>
    <w:rsid w:val="00843F54"/>
    <w:rsid w:val="008447B3"/>
    <w:rsid w:val="00844BB5"/>
    <w:rsid w:val="00846B76"/>
    <w:rsid w:val="0084707B"/>
    <w:rsid w:val="00847644"/>
    <w:rsid w:val="008478B6"/>
    <w:rsid w:val="00847DF6"/>
    <w:rsid w:val="00850062"/>
    <w:rsid w:val="00850CEE"/>
    <w:rsid w:val="00850F2B"/>
    <w:rsid w:val="00850F7D"/>
    <w:rsid w:val="00851427"/>
    <w:rsid w:val="00851ECA"/>
    <w:rsid w:val="00852988"/>
    <w:rsid w:val="00852F5D"/>
    <w:rsid w:val="008544F0"/>
    <w:rsid w:val="008555DC"/>
    <w:rsid w:val="00855640"/>
    <w:rsid w:val="008560DA"/>
    <w:rsid w:val="00857C53"/>
    <w:rsid w:val="00860B27"/>
    <w:rsid w:val="0086116F"/>
    <w:rsid w:val="0086173A"/>
    <w:rsid w:val="00861E1C"/>
    <w:rsid w:val="00862145"/>
    <w:rsid w:val="0086215F"/>
    <w:rsid w:val="008621A5"/>
    <w:rsid w:val="008622BA"/>
    <w:rsid w:val="00862468"/>
    <w:rsid w:val="00862874"/>
    <w:rsid w:val="008629FF"/>
    <w:rsid w:val="00863318"/>
    <w:rsid w:val="0086371F"/>
    <w:rsid w:val="00863C1E"/>
    <w:rsid w:val="00864289"/>
    <w:rsid w:val="00864505"/>
    <w:rsid w:val="00864B2B"/>
    <w:rsid w:val="00864C25"/>
    <w:rsid w:val="00865179"/>
    <w:rsid w:val="00865322"/>
    <w:rsid w:val="00866180"/>
    <w:rsid w:val="00866570"/>
    <w:rsid w:val="00866A71"/>
    <w:rsid w:val="00866D3F"/>
    <w:rsid w:val="00867103"/>
    <w:rsid w:val="0086721D"/>
    <w:rsid w:val="008672F3"/>
    <w:rsid w:val="00867447"/>
    <w:rsid w:val="00867E80"/>
    <w:rsid w:val="008707F2"/>
    <w:rsid w:val="00871060"/>
    <w:rsid w:val="008722C5"/>
    <w:rsid w:val="00873716"/>
    <w:rsid w:val="00873ADB"/>
    <w:rsid w:val="00873EF5"/>
    <w:rsid w:val="00874251"/>
    <w:rsid w:val="00874805"/>
    <w:rsid w:val="00874FDF"/>
    <w:rsid w:val="00875C9D"/>
    <w:rsid w:val="00876983"/>
    <w:rsid w:val="00876DF1"/>
    <w:rsid w:val="00876E90"/>
    <w:rsid w:val="0087763E"/>
    <w:rsid w:val="00880473"/>
    <w:rsid w:val="008806A6"/>
    <w:rsid w:val="00880919"/>
    <w:rsid w:val="0088118F"/>
    <w:rsid w:val="0088134E"/>
    <w:rsid w:val="00881403"/>
    <w:rsid w:val="00882701"/>
    <w:rsid w:val="00882FD7"/>
    <w:rsid w:val="008831F7"/>
    <w:rsid w:val="00883461"/>
    <w:rsid w:val="00883866"/>
    <w:rsid w:val="0088464B"/>
    <w:rsid w:val="008862D8"/>
    <w:rsid w:val="00886868"/>
    <w:rsid w:val="0088766D"/>
    <w:rsid w:val="0088793F"/>
    <w:rsid w:val="00887AA4"/>
    <w:rsid w:val="00890224"/>
    <w:rsid w:val="0089050D"/>
    <w:rsid w:val="0089078A"/>
    <w:rsid w:val="008913F6"/>
    <w:rsid w:val="0089312C"/>
    <w:rsid w:val="0089329F"/>
    <w:rsid w:val="00893346"/>
    <w:rsid w:val="00893A46"/>
    <w:rsid w:val="00893B15"/>
    <w:rsid w:val="00893F4E"/>
    <w:rsid w:val="0089428F"/>
    <w:rsid w:val="00894FE6"/>
    <w:rsid w:val="0089542F"/>
    <w:rsid w:val="00895D62"/>
    <w:rsid w:val="008961ED"/>
    <w:rsid w:val="008972F6"/>
    <w:rsid w:val="00897657"/>
    <w:rsid w:val="00897AC0"/>
    <w:rsid w:val="00897CAE"/>
    <w:rsid w:val="008A0D8C"/>
    <w:rsid w:val="008A1221"/>
    <w:rsid w:val="008A1227"/>
    <w:rsid w:val="008A1C50"/>
    <w:rsid w:val="008A2EF5"/>
    <w:rsid w:val="008A349F"/>
    <w:rsid w:val="008A35AC"/>
    <w:rsid w:val="008A35E6"/>
    <w:rsid w:val="008A3A8A"/>
    <w:rsid w:val="008A3BB6"/>
    <w:rsid w:val="008A3D26"/>
    <w:rsid w:val="008A423D"/>
    <w:rsid w:val="008A548C"/>
    <w:rsid w:val="008A5A43"/>
    <w:rsid w:val="008A604B"/>
    <w:rsid w:val="008A60EA"/>
    <w:rsid w:val="008B09E7"/>
    <w:rsid w:val="008B0A23"/>
    <w:rsid w:val="008B0CB3"/>
    <w:rsid w:val="008B1A58"/>
    <w:rsid w:val="008B285B"/>
    <w:rsid w:val="008B2E06"/>
    <w:rsid w:val="008B32FF"/>
    <w:rsid w:val="008B3379"/>
    <w:rsid w:val="008B375E"/>
    <w:rsid w:val="008B38BB"/>
    <w:rsid w:val="008B3A60"/>
    <w:rsid w:val="008B410E"/>
    <w:rsid w:val="008B4859"/>
    <w:rsid w:val="008B49A6"/>
    <w:rsid w:val="008B522C"/>
    <w:rsid w:val="008B564F"/>
    <w:rsid w:val="008B60C3"/>
    <w:rsid w:val="008B65C7"/>
    <w:rsid w:val="008B6A8A"/>
    <w:rsid w:val="008B6A9A"/>
    <w:rsid w:val="008B6D3B"/>
    <w:rsid w:val="008B6FB0"/>
    <w:rsid w:val="008B7165"/>
    <w:rsid w:val="008B7207"/>
    <w:rsid w:val="008B732B"/>
    <w:rsid w:val="008B75C2"/>
    <w:rsid w:val="008B7739"/>
    <w:rsid w:val="008B77E5"/>
    <w:rsid w:val="008B7FE6"/>
    <w:rsid w:val="008C02CC"/>
    <w:rsid w:val="008C0856"/>
    <w:rsid w:val="008C0C25"/>
    <w:rsid w:val="008C0FA3"/>
    <w:rsid w:val="008C10CE"/>
    <w:rsid w:val="008C147B"/>
    <w:rsid w:val="008C2645"/>
    <w:rsid w:val="008C3BFF"/>
    <w:rsid w:val="008C3C38"/>
    <w:rsid w:val="008C3D38"/>
    <w:rsid w:val="008C4896"/>
    <w:rsid w:val="008C4B44"/>
    <w:rsid w:val="008C4CCE"/>
    <w:rsid w:val="008C513B"/>
    <w:rsid w:val="008C57EC"/>
    <w:rsid w:val="008C5A5E"/>
    <w:rsid w:val="008C5A9A"/>
    <w:rsid w:val="008C6C68"/>
    <w:rsid w:val="008C7378"/>
    <w:rsid w:val="008C7C22"/>
    <w:rsid w:val="008D018A"/>
    <w:rsid w:val="008D07DF"/>
    <w:rsid w:val="008D1265"/>
    <w:rsid w:val="008D147E"/>
    <w:rsid w:val="008D147F"/>
    <w:rsid w:val="008D174F"/>
    <w:rsid w:val="008D1DDB"/>
    <w:rsid w:val="008D2533"/>
    <w:rsid w:val="008D2BB5"/>
    <w:rsid w:val="008D386B"/>
    <w:rsid w:val="008D39F9"/>
    <w:rsid w:val="008D41E9"/>
    <w:rsid w:val="008D45D9"/>
    <w:rsid w:val="008D4B8D"/>
    <w:rsid w:val="008D5493"/>
    <w:rsid w:val="008D69F0"/>
    <w:rsid w:val="008D6CA4"/>
    <w:rsid w:val="008D7AE7"/>
    <w:rsid w:val="008E05D3"/>
    <w:rsid w:val="008E2126"/>
    <w:rsid w:val="008E25A9"/>
    <w:rsid w:val="008E2BFF"/>
    <w:rsid w:val="008E39AA"/>
    <w:rsid w:val="008E3B66"/>
    <w:rsid w:val="008E3D5D"/>
    <w:rsid w:val="008E442B"/>
    <w:rsid w:val="008E46A1"/>
    <w:rsid w:val="008E4EB3"/>
    <w:rsid w:val="008E6D89"/>
    <w:rsid w:val="008E700D"/>
    <w:rsid w:val="008F092A"/>
    <w:rsid w:val="008F13F7"/>
    <w:rsid w:val="008F188B"/>
    <w:rsid w:val="008F19B2"/>
    <w:rsid w:val="008F2225"/>
    <w:rsid w:val="008F3CD3"/>
    <w:rsid w:val="008F3D8C"/>
    <w:rsid w:val="008F4299"/>
    <w:rsid w:val="008F45A8"/>
    <w:rsid w:val="008F4C51"/>
    <w:rsid w:val="008F4D04"/>
    <w:rsid w:val="008F5F8E"/>
    <w:rsid w:val="008F6051"/>
    <w:rsid w:val="008F61C2"/>
    <w:rsid w:val="008F778D"/>
    <w:rsid w:val="008F7A2E"/>
    <w:rsid w:val="008F7F57"/>
    <w:rsid w:val="00900946"/>
    <w:rsid w:val="00900F4A"/>
    <w:rsid w:val="00901150"/>
    <w:rsid w:val="00901A5F"/>
    <w:rsid w:val="00901BFE"/>
    <w:rsid w:val="00901DA6"/>
    <w:rsid w:val="00901DF3"/>
    <w:rsid w:val="009020C1"/>
    <w:rsid w:val="00902424"/>
    <w:rsid w:val="00902512"/>
    <w:rsid w:val="00902E26"/>
    <w:rsid w:val="00903D97"/>
    <w:rsid w:val="00903E09"/>
    <w:rsid w:val="009052BE"/>
    <w:rsid w:val="00905B25"/>
    <w:rsid w:val="00906408"/>
    <w:rsid w:val="00906B3A"/>
    <w:rsid w:val="009076D8"/>
    <w:rsid w:val="00907739"/>
    <w:rsid w:val="009077BF"/>
    <w:rsid w:val="00907F55"/>
    <w:rsid w:val="00910585"/>
    <w:rsid w:val="009111D9"/>
    <w:rsid w:val="00912959"/>
    <w:rsid w:val="00912982"/>
    <w:rsid w:val="009131FE"/>
    <w:rsid w:val="009133C4"/>
    <w:rsid w:val="00913851"/>
    <w:rsid w:val="00913902"/>
    <w:rsid w:val="00913DAA"/>
    <w:rsid w:val="009141D4"/>
    <w:rsid w:val="009148A5"/>
    <w:rsid w:val="009149A0"/>
    <w:rsid w:val="0091568B"/>
    <w:rsid w:val="00915B25"/>
    <w:rsid w:val="00916482"/>
    <w:rsid w:val="009164F7"/>
    <w:rsid w:val="00916D68"/>
    <w:rsid w:val="00916F6A"/>
    <w:rsid w:val="009179AD"/>
    <w:rsid w:val="00917A0B"/>
    <w:rsid w:val="009203A2"/>
    <w:rsid w:val="00920437"/>
    <w:rsid w:val="00920887"/>
    <w:rsid w:val="00920CDD"/>
    <w:rsid w:val="0092104B"/>
    <w:rsid w:val="00921744"/>
    <w:rsid w:val="00921FE3"/>
    <w:rsid w:val="0092248C"/>
    <w:rsid w:val="009227EE"/>
    <w:rsid w:val="009228CA"/>
    <w:rsid w:val="00923198"/>
    <w:rsid w:val="00923A43"/>
    <w:rsid w:val="00924563"/>
    <w:rsid w:val="00924D21"/>
    <w:rsid w:val="00924F5C"/>
    <w:rsid w:val="00925251"/>
    <w:rsid w:val="009262E5"/>
    <w:rsid w:val="00926720"/>
    <w:rsid w:val="0092789F"/>
    <w:rsid w:val="0093017D"/>
    <w:rsid w:val="009304C7"/>
    <w:rsid w:val="009314A9"/>
    <w:rsid w:val="009318BF"/>
    <w:rsid w:val="00931BB3"/>
    <w:rsid w:val="0093206F"/>
    <w:rsid w:val="00932595"/>
    <w:rsid w:val="00932C48"/>
    <w:rsid w:val="009334F2"/>
    <w:rsid w:val="009335FE"/>
    <w:rsid w:val="00933C0C"/>
    <w:rsid w:val="0093470A"/>
    <w:rsid w:val="009347BF"/>
    <w:rsid w:val="009348F0"/>
    <w:rsid w:val="009353FF"/>
    <w:rsid w:val="00935F55"/>
    <w:rsid w:val="00936367"/>
    <w:rsid w:val="00936D04"/>
    <w:rsid w:val="00937A36"/>
    <w:rsid w:val="00937BF6"/>
    <w:rsid w:val="0094041A"/>
    <w:rsid w:val="0094059A"/>
    <w:rsid w:val="00940A8A"/>
    <w:rsid w:val="00940ACE"/>
    <w:rsid w:val="00940F94"/>
    <w:rsid w:val="009411E3"/>
    <w:rsid w:val="009412F7"/>
    <w:rsid w:val="0094267D"/>
    <w:rsid w:val="009427AD"/>
    <w:rsid w:val="009427B0"/>
    <w:rsid w:val="00942C8F"/>
    <w:rsid w:val="00943C14"/>
    <w:rsid w:val="00943CE6"/>
    <w:rsid w:val="0094419B"/>
    <w:rsid w:val="00944450"/>
    <w:rsid w:val="00944A37"/>
    <w:rsid w:val="00944D68"/>
    <w:rsid w:val="0094513A"/>
    <w:rsid w:val="0094544D"/>
    <w:rsid w:val="00945DE2"/>
    <w:rsid w:val="00946209"/>
    <w:rsid w:val="009465BC"/>
    <w:rsid w:val="009465F1"/>
    <w:rsid w:val="00947168"/>
    <w:rsid w:val="009476D9"/>
    <w:rsid w:val="00947D3D"/>
    <w:rsid w:val="00950484"/>
    <w:rsid w:val="009508B5"/>
    <w:rsid w:val="0095093A"/>
    <w:rsid w:val="00950B9B"/>
    <w:rsid w:val="00950BAA"/>
    <w:rsid w:val="00950E8F"/>
    <w:rsid w:val="00950F1C"/>
    <w:rsid w:val="00951256"/>
    <w:rsid w:val="00951ECF"/>
    <w:rsid w:val="00952056"/>
    <w:rsid w:val="009523CC"/>
    <w:rsid w:val="00952551"/>
    <w:rsid w:val="009526C3"/>
    <w:rsid w:val="009529E9"/>
    <w:rsid w:val="0095398E"/>
    <w:rsid w:val="00954387"/>
    <w:rsid w:val="009547B0"/>
    <w:rsid w:val="00954CD0"/>
    <w:rsid w:val="00955A45"/>
    <w:rsid w:val="00956B39"/>
    <w:rsid w:val="00956B60"/>
    <w:rsid w:val="00956D3C"/>
    <w:rsid w:val="00957059"/>
    <w:rsid w:val="00957CBE"/>
    <w:rsid w:val="009606A5"/>
    <w:rsid w:val="00960C51"/>
    <w:rsid w:val="00960C89"/>
    <w:rsid w:val="009614D6"/>
    <w:rsid w:val="00961546"/>
    <w:rsid w:val="00961C7A"/>
    <w:rsid w:val="00962C38"/>
    <w:rsid w:val="0096355A"/>
    <w:rsid w:val="0096391F"/>
    <w:rsid w:val="00964FFD"/>
    <w:rsid w:val="00965111"/>
    <w:rsid w:val="00966716"/>
    <w:rsid w:val="00966AAA"/>
    <w:rsid w:val="00966AD0"/>
    <w:rsid w:val="00967673"/>
    <w:rsid w:val="00967EFD"/>
    <w:rsid w:val="00970073"/>
    <w:rsid w:val="009702DB"/>
    <w:rsid w:val="00970DCA"/>
    <w:rsid w:val="00970F08"/>
    <w:rsid w:val="0097122A"/>
    <w:rsid w:val="00971BE4"/>
    <w:rsid w:val="00971CE8"/>
    <w:rsid w:val="00972452"/>
    <w:rsid w:val="0097260E"/>
    <w:rsid w:val="00972808"/>
    <w:rsid w:val="00972E0D"/>
    <w:rsid w:val="009731B2"/>
    <w:rsid w:val="009735A1"/>
    <w:rsid w:val="00973890"/>
    <w:rsid w:val="0097425E"/>
    <w:rsid w:val="009744AE"/>
    <w:rsid w:val="0097451C"/>
    <w:rsid w:val="00974C3D"/>
    <w:rsid w:val="00975F08"/>
    <w:rsid w:val="00975F5E"/>
    <w:rsid w:val="00976B14"/>
    <w:rsid w:val="00976B30"/>
    <w:rsid w:val="00976C0B"/>
    <w:rsid w:val="00977113"/>
    <w:rsid w:val="00977142"/>
    <w:rsid w:val="00977310"/>
    <w:rsid w:val="00977685"/>
    <w:rsid w:val="00977B25"/>
    <w:rsid w:val="0098075F"/>
    <w:rsid w:val="00980A79"/>
    <w:rsid w:val="00980B14"/>
    <w:rsid w:val="00980DDA"/>
    <w:rsid w:val="00981050"/>
    <w:rsid w:val="00981B67"/>
    <w:rsid w:val="00981FF8"/>
    <w:rsid w:val="00982DC2"/>
    <w:rsid w:val="009838BF"/>
    <w:rsid w:val="00983EDB"/>
    <w:rsid w:val="00984128"/>
    <w:rsid w:val="00984F1E"/>
    <w:rsid w:val="009851F6"/>
    <w:rsid w:val="009851FE"/>
    <w:rsid w:val="00985926"/>
    <w:rsid w:val="00985ABD"/>
    <w:rsid w:val="00985F9B"/>
    <w:rsid w:val="009862A8"/>
    <w:rsid w:val="009864B5"/>
    <w:rsid w:val="00986511"/>
    <w:rsid w:val="009865C1"/>
    <w:rsid w:val="00986658"/>
    <w:rsid w:val="00986D35"/>
    <w:rsid w:val="00986EEE"/>
    <w:rsid w:val="00987180"/>
    <w:rsid w:val="00987B03"/>
    <w:rsid w:val="00987E21"/>
    <w:rsid w:val="00987F79"/>
    <w:rsid w:val="00990A9D"/>
    <w:rsid w:val="00991A30"/>
    <w:rsid w:val="00992E7C"/>
    <w:rsid w:val="0099463F"/>
    <w:rsid w:val="00994C55"/>
    <w:rsid w:val="0099515C"/>
    <w:rsid w:val="00996103"/>
    <w:rsid w:val="00996205"/>
    <w:rsid w:val="00996441"/>
    <w:rsid w:val="00996456"/>
    <w:rsid w:val="009969A5"/>
    <w:rsid w:val="00997844"/>
    <w:rsid w:val="00997A4E"/>
    <w:rsid w:val="00997B49"/>
    <w:rsid w:val="00997CC5"/>
    <w:rsid w:val="00997D9F"/>
    <w:rsid w:val="00997ED1"/>
    <w:rsid w:val="009A0F26"/>
    <w:rsid w:val="009A13FB"/>
    <w:rsid w:val="009A2552"/>
    <w:rsid w:val="009A2AB1"/>
    <w:rsid w:val="009A3103"/>
    <w:rsid w:val="009A32D2"/>
    <w:rsid w:val="009A3E31"/>
    <w:rsid w:val="009A41AD"/>
    <w:rsid w:val="009A4ACA"/>
    <w:rsid w:val="009A4E85"/>
    <w:rsid w:val="009A51AA"/>
    <w:rsid w:val="009A5868"/>
    <w:rsid w:val="009A5970"/>
    <w:rsid w:val="009A5D2F"/>
    <w:rsid w:val="009A6AD6"/>
    <w:rsid w:val="009A74B6"/>
    <w:rsid w:val="009A75C2"/>
    <w:rsid w:val="009A7618"/>
    <w:rsid w:val="009B0874"/>
    <w:rsid w:val="009B09C0"/>
    <w:rsid w:val="009B09DE"/>
    <w:rsid w:val="009B0FA2"/>
    <w:rsid w:val="009B1C3C"/>
    <w:rsid w:val="009B1CD0"/>
    <w:rsid w:val="009B30B9"/>
    <w:rsid w:val="009B33CB"/>
    <w:rsid w:val="009B402E"/>
    <w:rsid w:val="009B4078"/>
    <w:rsid w:val="009B46BB"/>
    <w:rsid w:val="009B486C"/>
    <w:rsid w:val="009B49AA"/>
    <w:rsid w:val="009B5651"/>
    <w:rsid w:val="009B5A48"/>
    <w:rsid w:val="009B623B"/>
    <w:rsid w:val="009B650B"/>
    <w:rsid w:val="009B6810"/>
    <w:rsid w:val="009B6C75"/>
    <w:rsid w:val="009B6D2C"/>
    <w:rsid w:val="009B6F19"/>
    <w:rsid w:val="009B6F76"/>
    <w:rsid w:val="009B72F0"/>
    <w:rsid w:val="009B7303"/>
    <w:rsid w:val="009B78ED"/>
    <w:rsid w:val="009C0735"/>
    <w:rsid w:val="009C1047"/>
    <w:rsid w:val="009C131A"/>
    <w:rsid w:val="009C16F3"/>
    <w:rsid w:val="009C1FCD"/>
    <w:rsid w:val="009C2322"/>
    <w:rsid w:val="009C275A"/>
    <w:rsid w:val="009C2E5B"/>
    <w:rsid w:val="009C3695"/>
    <w:rsid w:val="009C38FE"/>
    <w:rsid w:val="009C3DE2"/>
    <w:rsid w:val="009C4153"/>
    <w:rsid w:val="009C594A"/>
    <w:rsid w:val="009C5AFA"/>
    <w:rsid w:val="009C5B81"/>
    <w:rsid w:val="009C5CC6"/>
    <w:rsid w:val="009C5E1C"/>
    <w:rsid w:val="009C6844"/>
    <w:rsid w:val="009C70E2"/>
    <w:rsid w:val="009C750C"/>
    <w:rsid w:val="009C7779"/>
    <w:rsid w:val="009C7AAB"/>
    <w:rsid w:val="009C7B04"/>
    <w:rsid w:val="009D07E0"/>
    <w:rsid w:val="009D0C64"/>
    <w:rsid w:val="009D131D"/>
    <w:rsid w:val="009D1482"/>
    <w:rsid w:val="009D1777"/>
    <w:rsid w:val="009D1AF1"/>
    <w:rsid w:val="009D2168"/>
    <w:rsid w:val="009D21D2"/>
    <w:rsid w:val="009D21F2"/>
    <w:rsid w:val="009D30C3"/>
    <w:rsid w:val="009D3CB8"/>
    <w:rsid w:val="009D4314"/>
    <w:rsid w:val="009D4AD5"/>
    <w:rsid w:val="009D4FD0"/>
    <w:rsid w:val="009D53E8"/>
    <w:rsid w:val="009D591B"/>
    <w:rsid w:val="009D5AD0"/>
    <w:rsid w:val="009D5BAD"/>
    <w:rsid w:val="009D5BCB"/>
    <w:rsid w:val="009D5FE3"/>
    <w:rsid w:val="009D63E5"/>
    <w:rsid w:val="009D6775"/>
    <w:rsid w:val="009D6E65"/>
    <w:rsid w:val="009E1071"/>
    <w:rsid w:val="009E16E3"/>
    <w:rsid w:val="009E1A67"/>
    <w:rsid w:val="009E26AC"/>
    <w:rsid w:val="009E2783"/>
    <w:rsid w:val="009E2ADE"/>
    <w:rsid w:val="009E2C08"/>
    <w:rsid w:val="009E2C86"/>
    <w:rsid w:val="009E3ABC"/>
    <w:rsid w:val="009E40B1"/>
    <w:rsid w:val="009E41F6"/>
    <w:rsid w:val="009E44DD"/>
    <w:rsid w:val="009E4628"/>
    <w:rsid w:val="009E47E1"/>
    <w:rsid w:val="009E49B4"/>
    <w:rsid w:val="009E5803"/>
    <w:rsid w:val="009E59CB"/>
    <w:rsid w:val="009E7AB9"/>
    <w:rsid w:val="009F09C8"/>
    <w:rsid w:val="009F0BBE"/>
    <w:rsid w:val="009F0E87"/>
    <w:rsid w:val="009F0EFC"/>
    <w:rsid w:val="009F1165"/>
    <w:rsid w:val="009F1219"/>
    <w:rsid w:val="009F1F74"/>
    <w:rsid w:val="009F29D8"/>
    <w:rsid w:val="009F3302"/>
    <w:rsid w:val="009F3967"/>
    <w:rsid w:val="009F4203"/>
    <w:rsid w:val="009F4AEC"/>
    <w:rsid w:val="009F4B25"/>
    <w:rsid w:val="009F4C63"/>
    <w:rsid w:val="009F5410"/>
    <w:rsid w:val="009F6587"/>
    <w:rsid w:val="009F693F"/>
    <w:rsid w:val="009F79DC"/>
    <w:rsid w:val="00A003F4"/>
    <w:rsid w:val="00A010DC"/>
    <w:rsid w:val="00A01752"/>
    <w:rsid w:val="00A01940"/>
    <w:rsid w:val="00A01BFB"/>
    <w:rsid w:val="00A02B16"/>
    <w:rsid w:val="00A02FDA"/>
    <w:rsid w:val="00A03B3F"/>
    <w:rsid w:val="00A03BAB"/>
    <w:rsid w:val="00A040C9"/>
    <w:rsid w:val="00A042DB"/>
    <w:rsid w:val="00A045DC"/>
    <w:rsid w:val="00A048FE"/>
    <w:rsid w:val="00A04902"/>
    <w:rsid w:val="00A054A7"/>
    <w:rsid w:val="00A0557E"/>
    <w:rsid w:val="00A05FAE"/>
    <w:rsid w:val="00A05FCF"/>
    <w:rsid w:val="00A06556"/>
    <w:rsid w:val="00A071E7"/>
    <w:rsid w:val="00A0754E"/>
    <w:rsid w:val="00A079F4"/>
    <w:rsid w:val="00A07A3A"/>
    <w:rsid w:val="00A07C81"/>
    <w:rsid w:val="00A07D1E"/>
    <w:rsid w:val="00A10F3D"/>
    <w:rsid w:val="00A10FF6"/>
    <w:rsid w:val="00A1138E"/>
    <w:rsid w:val="00A11505"/>
    <w:rsid w:val="00A11691"/>
    <w:rsid w:val="00A11C4C"/>
    <w:rsid w:val="00A11F9E"/>
    <w:rsid w:val="00A120E0"/>
    <w:rsid w:val="00A12A6F"/>
    <w:rsid w:val="00A12A7B"/>
    <w:rsid w:val="00A1387F"/>
    <w:rsid w:val="00A139A3"/>
    <w:rsid w:val="00A13A1C"/>
    <w:rsid w:val="00A13E6D"/>
    <w:rsid w:val="00A13ED0"/>
    <w:rsid w:val="00A142C2"/>
    <w:rsid w:val="00A142EC"/>
    <w:rsid w:val="00A1497E"/>
    <w:rsid w:val="00A14B6F"/>
    <w:rsid w:val="00A14DCC"/>
    <w:rsid w:val="00A1530B"/>
    <w:rsid w:val="00A1574A"/>
    <w:rsid w:val="00A16705"/>
    <w:rsid w:val="00A1687B"/>
    <w:rsid w:val="00A16ADB"/>
    <w:rsid w:val="00A16CA0"/>
    <w:rsid w:val="00A1767B"/>
    <w:rsid w:val="00A20225"/>
    <w:rsid w:val="00A20E70"/>
    <w:rsid w:val="00A211A8"/>
    <w:rsid w:val="00A214AE"/>
    <w:rsid w:val="00A22128"/>
    <w:rsid w:val="00A2246F"/>
    <w:rsid w:val="00A22C56"/>
    <w:rsid w:val="00A22C9C"/>
    <w:rsid w:val="00A238C2"/>
    <w:rsid w:val="00A2406D"/>
    <w:rsid w:val="00A24476"/>
    <w:rsid w:val="00A24B87"/>
    <w:rsid w:val="00A24C05"/>
    <w:rsid w:val="00A25220"/>
    <w:rsid w:val="00A25734"/>
    <w:rsid w:val="00A2726F"/>
    <w:rsid w:val="00A27725"/>
    <w:rsid w:val="00A3066E"/>
    <w:rsid w:val="00A308D8"/>
    <w:rsid w:val="00A30C2E"/>
    <w:rsid w:val="00A30CFA"/>
    <w:rsid w:val="00A31994"/>
    <w:rsid w:val="00A32388"/>
    <w:rsid w:val="00A325E4"/>
    <w:rsid w:val="00A32B95"/>
    <w:rsid w:val="00A32E54"/>
    <w:rsid w:val="00A3366D"/>
    <w:rsid w:val="00A34122"/>
    <w:rsid w:val="00A3452C"/>
    <w:rsid w:val="00A34F3A"/>
    <w:rsid w:val="00A3664D"/>
    <w:rsid w:val="00A36882"/>
    <w:rsid w:val="00A3714D"/>
    <w:rsid w:val="00A37E34"/>
    <w:rsid w:val="00A37E4A"/>
    <w:rsid w:val="00A37E68"/>
    <w:rsid w:val="00A40AC7"/>
    <w:rsid w:val="00A40BEE"/>
    <w:rsid w:val="00A40EAC"/>
    <w:rsid w:val="00A4121B"/>
    <w:rsid w:val="00A42423"/>
    <w:rsid w:val="00A42804"/>
    <w:rsid w:val="00A43659"/>
    <w:rsid w:val="00A445B6"/>
    <w:rsid w:val="00A44706"/>
    <w:rsid w:val="00A453A1"/>
    <w:rsid w:val="00A45864"/>
    <w:rsid w:val="00A46801"/>
    <w:rsid w:val="00A46B75"/>
    <w:rsid w:val="00A473FB"/>
    <w:rsid w:val="00A5110D"/>
    <w:rsid w:val="00A514B6"/>
    <w:rsid w:val="00A51958"/>
    <w:rsid w:val="00A52071"/>
    <w:rsid w:val="00A523C7"/>
    <w:rsid w:val="00A526ED"/>
    <w:rsid w:val="00A52EBC"/>
    <w:rsid w:val="00A530D1"/>
    <w:rsid w:val="00A538C7"/>
    <w:rsid w:val="00A53B7A"/>
    <w:rsid w:val="00A54C83"/>
    <w:rsid w:val="00A55506"/>
    <w:rsid w:val="00A55C78"/>
    <w:rsid w:val="00A567BF"/>
    <w:rsid w:val="00A569DA"/>
    <w:rsid w:val="00A56B93"/>
    <w:rsid w:val="00A56FFB"/>
    <w:rsid w:val="00A5706F"/>
    <w:rsid w:val="00A57142"/>
    <w:rsid w:val="00A574AB"/>
    <w:rsid w:val="00A57FA1"/>
    <w:rsid w:val="00A606BA"/>
    <w:rsid w:val="00A6171A"/>
    <w:rsid w:val="00A6174F"/>
    <w:rsid w:val="00A6180A"/>
    <w:rsid w:val="00A61944"/>
    <w:rsid w:val="00A61A57"/>
    <w:rsid w:val="00A61CCB"/>
    <w:rsid w:val="00A61D29"/>
    <w:rsid w:val="00A6249C"/>
    <w:rsid w:val="00A626D9"/>
    <w:rsid w:val="00A65E73"/>
    <w:rsid w:val="00A65F4D"/>
    <w:rsid w:val="00A661F3"/>
    <w:rsid w:val="00A663C7"/>
    <w:rsid w:val="00A6685D"/>
    <w:rsid w:val="00A6692F"/>
    <w:rsid w:val="00A674C7"/>
    <w:rsid w:val="00A67958"/>
    <w:rsid w:val="00A679C6"/>
    <w:rsid w:val="00A704F6"/>
    <w:rsid w:val="00A715DD"/>
    <w:rsid w:val="00A719A4"/>
    <w:rsid w:val="00A71D1B"/>
    <w:rsid w:val="00A720A1"/>
    <w:rsid w:val="00A724DB"/>
    <w:rsid w:val="00A72951"/>
    <w:rsid w:val="00A72BCB"/>
    <w:rsid w:val="00A734A7"/>
    <w:rsid w:val="00A7391E"/>
    <w:rsid w:val="00A73A31"/>
    <w:rsid w:val="00A73BFD"/>
    <w:rsid w:val="00A73C0E"/>
    <w:rsid w:val="00A73D13"/>
    <w:rsid w:val="00A74657"/>
    <w:rsid w:val="00A74F42"/>
    <w:rsid w:val="00A76135"/>
    <w:rsid w:val="00A7676B"/>
    <w:rsid w:val="00A7679C"/>
    <w:rsid w:val="00A76B0D"/>
    <w:rsid w:val="00A76E87"/>
    <w:rsid w:val="00A76F13"/>
    <w:rsid w:val="00A800A2"/>
    <w:rsid w:val="00A80270"/>
    <w:rsid w:val="00A806A9"/>
    <w:rsid w:val="00A80717"/>
    <w:rsid w:val="00A80DA1"/>
    <w:rsid w:val="00A8160D"/>
    <w:rsid w:val="00A81C0A"/>
    <w:rsid w:val="00A825FA"/>
    <w:rsid w:val="00A82BE1"/>
    <w:rsid w:val="00A831CF"/>
    <w:rsid w:val="00A83616"/>
    <w:rsid w:val="00A83A52"/>
    <w:rsid w:val="00A83D83"/>
    <w:rsid w:val="00A83ED6"/>
    <w:rsid w:val="00A84285"/>
    <w:rsid w:val="00A84510"/>
    <w:rsid w:val="00A84C26"/>
    <w:rsid w:val="00A85440"/>
    <w:rsid w:val="00A855B4"/>
    <w:rsid w:val="00A8579E"/>
    <w:rsid w:val="00A85AFC"/>
    <w:rsid w:val="00A85D5A"/>
    <w:rsid w:val="00A85F21"/>
    <w:rsid w:val="00A861EA"/>
    <w:rsid w:val="00A8636E"/>
    <w:rsid w:val="00A864C1"/>
    <w:rsid w:val="00A86914"/>
    <w:rsid w:val="00A87154"/>
    <w:rsid w:val="00A87597"/>
    <w:rsid w:val="00A87653"/>
    <w:rsid w:val="00A90069"/>
    <w:rsid w:val="00A913A5"/>
    <w:rsid w:val="00A92DDD"/>
    <w:rsid w:val="00A92E85"/>
    <w:rsid w:val="00A93D08"/>
    <w:rsid w:val="00A93E87"/>
    <w:rsid w:val="00A9402F"/>
    <w:rsid w:val="00A9416A"/>
    <w:rsid w:val="00A9446B"/>
    <w:rsid w:val="00A94852"/>
    <w:rsid w:val="00A9573B"/>
    <w:rsid w:val="00A958BD"/>
    <w:rsid w:val="00A960BF"/>
    <w:rsid w:val="00A9645A"/>
    <w:rsid w:val="00A96D0A"/>
    <w:rsid w:val="00A96EAF"/>
    <w:rsid w:val="00A97672"/>
    <w:rsid w:val="00AA0294"/>
    <w:rsid w:val="00AA0582"/>
    <w:rsid w:val="00AA0F9B"/>
    <w:rsid w:val="00AA14A4"/>
    <w:rsid w:val="00AA1625"/>
    <w:rsid w:val="00AA245D"/>
    <w:rsid w:val="00AA366D"/>
    <w:rsid w:val="00AA47DB"/>
    <w:rsid w:val="00AA47F6"/>
    <w:rsid w:val="00AA49FC"/>
    <w:rsid w:val="00AA4E04"/>
    <w:rsid w:val="00AA69DA"/>
    <w:rsid w:val="00AA6DDE"/>
    <w:rsid w:val="00AA71E4"/>
    <w:rsid w:val="00AA7213"/>
    <w:rsid w:val="00AA746B"/>
    <w:rsid w:val="00AA74B9"/>
    <w:rsid w:val="00AA75FF"/>
    <w:rsid w:val="00AA78C9"/>
    <w:rsid w:val="00AB06D2"/>
    <w:rsid w:val="00AB1652"/>
    <w:rsid w:val="00AB17C9"/>
    <w:rsid w:val="00AB17FE"/>
    <w:rsid w:val="00AB1CCC"/>
    <w:rsid w:val="00AB24C9"/>
    <w:rsid w:val="00AB303B"/>
    <w:rsid w:val="00AB3048"/>
    <w:rsid w:val="00AB317B"/>
    <w:rsid w:val="00AB434D"/>
    <w:rsid w:val="00AB49D7"/>
    <w:rsid w:val="00AB4AAB"/>
    <w:rsid w:val="00AB5320"/>
    <w:rsid w:val="00AB53ED"/>
    <w:rsid w:val="00AB57BC"/>
    <w:rsid w:val="00AB580F"/>
    <w:rsid w:val="00AB5A19"/>
    <w:rsid w:val="00AB5F84"/>
    <w:rsid w:val="00AB619D"/>
    <w:rsid w:val="00AB643A"/>
    <w:rsid w:val="00AC0D3B"/>
    <w:rsid w:val="00AC1082"/>
    <w:rsid w:val="00AC15B1"/>
    <w:rsid w:val="00AC26A4"/>
    <w:rsid w:val="00AC2A94"/>
    <w:rsid w:val="00AC3310"/>
    <w:rsid w:val="00AC35AA"/>
    <w:rsid w:val="00AC35B6"/>
    <w:rsid w:val="00AC3DA1"/>
    <w:rsid w:val="00AC4B61"/>
    <w:rsid w:val="00AC51C2"/>
    <w:rsid w:val="00AC53E2"/>
    <w:rsid w:val="00AC5726"/>
    <w:rsid w:val="00AC61C5"/>
    <w:rsid w:val="00AC650B"/>
    <w:rsid w:val="00AC659E"/>
    <w:rsid w:val="00AC67C3"/>
    <w:rsid w:val="00AC6C75"/>
    <w:rsid w:val="00AC70BC"/>
    <w:rsid w:val="00AC7788"/>
    <w:rsid w:val="00AD00D1"/>
    <w:rsid w:val="00AD0382"/>
    <w:rsid w:val="00AD046B"/>
    <w:rsid w:val="00AD07E6"/>
    <w:rsid w:val="00AD0A3F"/>
    <w:rsid w:val="00AD1A20"/>
    <w:rsid w:val="00AD22E7"/>
    <w:rsid w:val="00AD2B7E"/>
    <w:rsid w:val="00AD2F18"/>
    <w:rsid w:val="00AD31EB"/>
    <w:rsid w:val="00AD34FC"/>
    <w:rsid w:val="00AD363E"/>
    <w:rsid w:val="00AD3CBD"/>
    <w:rsid w:val="00AD3CF9"/>
    <w:rsid w:val="00AD3D22"/>
    <w:rsid w:val="00AD3EF7"/>
    <w:rsid w:val="00AD44EE"/>
    <w:rsid w:val="00AD4528"/>
    <w:rsid w:val="00AD4FEC"/>
    <w:rsid w:val="00AD54B5"/>
    <w:rsid w:val="00AD5ADE"/>
    <w:rsid w:val="00AD5CA1"/>
    <w:rsid w:val="00AD6155"/>
    <w:rsid w:val="00AD6800"/>
    <w:rsid w:val="00AD6D84"/>
    <w:rsid w:val="00AD76EF"/>
    <w:rsid w:val="00AE0216"/>
    <w:rsid w:val="00AE0295"/>
    <w:rsid w:val="00AE063D"/>
    <w:rsid w:val="00AE06A0"/>
    <w:rsid w:val="00AE0932"/>
    <w:rsid w:val="00AE09B5"/>
    <w:rsid w:val="00AE0CB2"/>
    <w:rsid w:val="00AE0CBB"/>
    <w:rsid w:val="00AE0D4E"/>
    <w:rsid w:val="00AE0DB2"/>
    <w:rsid w:val="00AE0E0C"/>
    <w:rsid w:val="00AE120D"/>
    <w:rsid w:val="00AE13CE"/>
    <w:rsid w:val="00AE174F"/>
    <w:rsid w:val="00AE1D2B"/>
    <w:rsid w:val="00AE2422"/>
    <w:rsid w:val="00AE2AA5"/>
    <w:rsid w:val="00AE2AA6"/>
    <w:rsid w:val="00AE2D88"/>
    <w:rsid w:val="00AE312F"/>
    <w:rsid w:val="00AE352D"/>
    <w:rsid w:val="00AE3D96"/>
    <w:rsid w:val="00AE4A13"/>
    <w:rsid w:val="00AE4C8E"/>
    <w:rsid w:val="00AE5633"/>
    <w:rsid w:val="00AE6415"/>
    <w:rsid w:val="00AE66F4"/>
    <w:rsid w:val="00AE6832"/>
    <w:rsid w:val="00AE6A2B"/>
    <w:rsid w:val="00AE6D7D"/>
    <w:rsid w:val="00AE7026"/>
    <w:rsid w:val="00AE702E"/>
    <w:rsid w:val="00AE78A7"/>
    <w:rsid w:val="00AF2377"/>
    <w:rsid w:val="00AF2A12"/>
    <w:rsid w:val="00AF3808"/>
    <w:rsid w:val="00AF3887"/>
    <w:rsid w:val="00AF3BBD"/>
    <w:rsid w:val="00AF44CE"/>
    <w:rsid w:val="00AF49A5"/>
    <w:rsid w:val="00AF5365"/>
    <w:rsid w:val="00AF5D40"/>
    <w:rsid w:val="00AF5F27"/>
    <w:rsid w:val="00AF61D3"/>
    <w:rsid w:val="00AF6245"/>
    <w:rsid w:val="00AF63E3"/>
    <w:rsid w:val="00AF6EF5"/>
    <w:rsid w:val="00AF7020"/>
    <w:rsid w:val="00AF70F9"/>
    <w:rsid w:val="00AF711C"/>
    <w:rsid w:val="00AF7BE0"/>
    <w:rsid w:val="00AF7F01"/>
    <w:rsid w:val="00B009C4"/>
    <w:rsid w:val="00B00A37"/>
    <w:rsid w:val="00B011E1"/>
    <w:rsid w:val="00B015B4"/>
    <w:rsid w:val="00B01735"/>
    <w:rsid w:val="00B01D67"/>
    <w:rsid w:val="00B023DE"/>
    <w:rsid w:val="00B024A3"/>
    <w:rsid w:val="00B02A7F"/>
    <w:rsid w:val="00B02E95"/>
    <w:rsid w:val="00B02F80"/>
    <w:rsid w:val="00B03BB6"/>
    <w:rsid w:val="00B03DF0"/>
    <w:rsid w:val="00B0404B"/>
    <w:rsid w:val="00B0419C"/>
    <w:rsid w:val="00B0438A"/>
    <w:rsid w:val="00B04A73"/>
    <w:rsid w:val="00B0541F"/>
    <w:rsid w:val="00B05C13"/>
    <w:rsid w:val="00B05D7D"/>
    <w:rsid w:val="00B06005"/>
    <w:rsid w:val="00B074ED"/>
    <w:rsid w:val="00B07B09"/>
    <w:rsid w:val="00B07EDC"/>
    <w:rsid w:val="00B07F06"/>
    <w:rsid w:val="00B1055D"/>
    <w:rsid w:val="00B109C7"/>
    <w:rsid w:val="00B10B73"/>
    <w:rsid w:val="00B1166C"/>
    <w:rsid w:val="00B11925"/>
    <w:rsid w:val="00B12B19"/>
    <w:rsid w:val="00B13DCF"/>
    <w:rsid w:val="00B147A0"/>
    <w:rsid w:val="00B148B5"/>
    <w:rsid w:val="00B148DC"/>
    <w:rsid w:val="00B14F77"/>
    <w:rsid w:val="00B15A99"/>
    <w:rsid w:val="00B15ED3"/>
    <w:rsid w:val="00B165A3"/>
    <w:rsid w:val="00B166BE"/>
    <w:rsid w:val="00B172BE"/>
    <w:rsid w:val="00B1751B"/>
    <w:rsid w:val="00B17742"/>
    <w:rsid w:val="00B1777C"/>
    <w:rsid w:val="00B17E8C"/>
    <w:rsid w:val="00B17EF6"/>
    <w:rsid w:val="00B20770"/>
    <w:rsid w:val="00B2195E"/>
    <w:rsid w:val="00B21BE2"/>
    <w:rsid w:val="00B21EE2"/>
    <w:rsid w:val="00B2279C"/>
    <w:rsid w:val="00B24035"/>
    <w:rsid w:val="00B24AE6"/>
    <w:rsid w:val="00B24BC9"/>
    <w:rsid w:val="00B24FDD"/>
    <w:rsid w:val="00B2503F"/>
    <w:rsid w:val="00B253AA"/>
    <w:rsid w:val="00B25DE4"/>
    <w:rsid w:val="00B269B8"/>
    <w:rsid w:val="00B26AE1"/>
    <w:rsid w:val="00B26BEB"/>
    <w:rsid w:val="00B300AC"/>
    <w:rsid w:val="00B30398"/>
    <w:rsid w:val="00B312DF"/>
    <w:rsid w:val="00B31804"/>
    <w:rsid w:val="00B319CA"/>
    <w:rsid w:val="00B31A8F"/>
    <w:rsid w:val="00B31B7C"/>
    <w:rsid w:val="00B31FF6"/>
    <w:rsid w:val="00B32067"/>
    <w:rsid w:val="00B3224E"/>
    <w:rsid w:val="00B324E1"/>
    <w:rsid w:val="00B32A47"/>
    <w:rsid w:val="00B3399F"/>
    <w:rsid w:val="00B34B7D"/>
    <w:rsid w:val="00B34DB5"/>
    <w:rsid w:val="00B351F3"/>
    <w:rsid w:val="00B36515"/>
    <w:rsid w:val="00B37471"/>
    <w:rsid w:val="00B400DC"/>
    <w:rsid w:val="00B400E6"/>
    <w:rsid w:val="00B40F43"/>
    <w:rsid w:val="00B4221E"/>
    <w:rsid w:val="00B43B18"/>
    <w:rsid w:val="00B43FFA"/>
    <w:rsid w:val="00B452A7"/>
    <w:rsid w:val="00B45A00"/>
    <w:rsid w:val="00B45BE7"/>
    <w:rsid w:val="00B4635C"/>
    <w:rsid w:val="00B4639D"/>
    <w:rsid w:val="00B464DB"/>
    <w:rsid w:val="00B4659F"/>
    <w:rsid w:val="00B46C53"/>
    <w:rsid w:val="00B46E15"/>
    <w:rsid w:val="00B470AC"/>
    <w:rsid w:val="00B472E5"/>
    <w:rsid w:val="00B5090D"/>
    <w:rsid w:val="00B512C4"/>
    <w:rsid w:val="00B515FA"/>
    <w:rsid w:val="00B51768"/>
    <w:rsid w:val="00B51F63"/>
    <w:rsid w:val="00B520AA"/>
    <w:rsid w:val="00B52CE8"/>
    <w:rsid w:val="00B52F99"/>
    <w:rsid w:val="00B53003"/>
    <w:rsid w:val="00B530FD"/>
    <w:rsid w:val="00B537C9"/>
    <w:rsid w:val="00B53C58"/>
    <w:rsid w:val="00B549A4"/>
    <w:rsid w:val="00B54B93"/>
    <w:rsid w:val="00B54BA6"/>
    <w:rsid w:val="00B54BD1"/>
    <w:rsid w:val="00B54F41"/>
    <w:rsid w:val="00B5574C"/>
    <w:rsid w:val="00B559AC"/>
    <w:rsid w:val="00B55D14"/>
    <w:rsid w:val="00B565E4"/>
    <w:rsid w:val="00B572D6"/>
    <w:rsid w:val="00B57C3E"/>
    <w:rsid w:val="00B57CEE"/>
    <w:rsid w:val="00B57E81"/>
    <w:rsid w:val="00B6056E"/>
    <w:rsid w:val="00B61175"/>
    <w:rsid w:val="00B61883"/>
    <w:rsid w:val="00B61CCD"/>
    <w:rsid w:val="00B61E08"/>
    <w:rsid w:val="00B61FCD"/>
    <w:rsid w:val="00B62248"/>
    <w:rsid w:val="00B62E6F"/>
    <w:rsid w:val="00B636E8"/>
    <w:rsid w:val="00B639D5"/>
    <w:rsid w:val="00B63D87"/>
    <w:rsid w:val="00B643C0"/>
    <w:rsid w:val="00B644F4"/>
    <w:rsid w:val="00B64948"/>
    <w:rsid w:val="00B64F84"/>
    <w:rsid w:val="00B64F9B"/>
    <w:rsid w:val="00B65377"/>
    <w:rsid w:val="00B658B5"/>
    <w:rsid w:val="00B66E36"/>
    <w:rsid w:val="00B66F31"/>
    <w:rsid w:val="00B66F90"/>
    <w:rsid w:val="00B6727F"/>
    <w:rsid w:val="00B672C6"/>
    <w:rsid w:val="00B677BE"/>
    <w:rsid w:val="00B70290"/>
    <w:rsid w:val="00B71DEE"/>
    <w:rsid w:val="00B72399"/>
    <w:rsid w:val="00B723D0"/>
    <w:rsid w:val="00B72743"/>
    <w:rsid w:val="00B73550"/>
    <w:rsid w:val="00B73734"/>
    <w:rsid w:val="00B73A0C"/>
    <w:rsid w:val="00B74010"/>
    <w:rsid w:val="00B74434"/>
    <w:rsid w:val="00B747E4"/>
    <w:rsid w:val="00B751BC"/>
    <w:rsid w:val="00B758D8"/>
    <w:rsid w:val="00B759D2"/>
    <w:rsid w:val="00B75DB9"/>
    <w:rsid w:val="00B763A9"/>
    <w:rsid w:val="00B763D2"/>
    <w:rsid w:val="00B76C73"/>
    <w:rsid w:val="00B76C94"/>
    <w:rsid w:val="00B7722E"/>
    <w:rsid w:val="00B7734C"/>
    <w:rsid w:val="00B77F3C"/>
    <w:rsid w:val="00B812AB"/>
    <w:rsid w:val="00B818C1"/>
    <w:rsid w:val="00B81DB9"/>
    <w:rsid w:val="00B83204"/>
    <w:rsid w:val="00B833C2"/>
    <w:rsid w:val="00B83736"/>
    <w:rsid w:val="00B837BB"/>
    <w:rsid w:val="00B839E0"/>
    <w:rsid w:val="00B848AC"/>
    <w:rsid w:val="00B84E3E"/>
    <w:rsid w:val="00B86984"/>
    <w:rsid w:val="00B86D55"/>
    <w:rsid w:val="00B87938"/>
    <w:rsid w:val="00B9067F"/>
    <w:rsid w:val="00B90E1B"/>
    <w:rsid w:val="00B9103D"/>
    <w:rsid w:val="00B9113D"/>
    <w:rsid w:val="00B91CD8"/>
    <w:rsid w:val="00B9232B"/>
    <w:rsid w:val="00B924A3"/>
    <w:rsid w:val="00B925A8"/>
    <w:rsid w:val="00B9261A"/>
    <w:rsid w:val="00B935F4"/>
    <w:rsid w:val="00B937AF"/>
    <w:rsid w:val="00B93917"/>
    <w:rsid w:val="00B93B50"/>
    <w:rsid w:val="00B94C87"/>
    <w:rsid w:val="00B95AD9"/>
    <w:rsid w:val="00B95B8A"/>
    <w:rsid w:val="00B96340"/>
    <w:rsid w:val="00B96DD2"/>
    <w:rsid w:val="00B97B98"/>
    <w:rsid w:val="00BA087B"/>
    <w:rsid w:val="00BA0EB9"/>
    <w:rsid w:val="00BA11CF"/>
    <w:rsid w:val="00BA1651"/>
    <w:rsid w:val="00BA1A2A"/>
    <w:rsid w:val="00BA1ECF"/>
    <w:rsid w:val="00BA1EF5"/>
    <w:rsid w:val="00BA211F"/>
    <w:rsid w:val="00BA21F4"/>
    <w:rsid w:val="00BA2550"/>
    <w:rsid w:val="00BA2D9F"/>
    <w:rsid w:val="00BA30C2"/>
    <w:rsid w:val="00BA46A3"/>
    <w:rsid w:val="00BA4CE8"/>
    <w:rsid w:val="00BA4DB5"/>
    <w:rsid w:val="00BA5604"/>
    <w:rsid w:val="00BA56AF"/>
    <w:rsid w:val="00BA597A"/>
    <w:rsid w:val="00BA5BC0"/>
    <w:rsid w:val="00BA5ECE"/>
    <w:rsid w:val="00BA5F19"/>
    <w:rsid w:val="00BA65AE"/>
    <w:rsid w:val="00BA6F1A"/>
    <w:rsid w:val="00BA704D"/>
    <w:rsid w:val="00BA743B"/>
    <w:rsid w:val="00BA78D9"/>
    <w:rsid w:val="00BB047E"/>
    <w:rsid w:val="00BB0F7D"/>
    <w:rsid w:val="00BB1A95"/>
    <w:rsid w:val="00BB1BEE"/>
    <w:rsid w:val="00BB1C99"/>
    <w:rsid w:val="00BB1DB5"/>
    <w:rsid w:val="00BB2DFC"/>
    <w:rsid w:val="00BB3048"/>
    <w:rsid w:val="00BB331D"/>
    <w:rsid w:val="00BB38CD"/>
    <w:rsid w:val="00BB3C8F"/>
    <w:rsid w:val="00BB4916"/>
    <w:rsid w:val="00BB533B"/>
    <w:rsid w:val="00BB5B16"/>
    <w:rsid w:val="00BB5DA7"/>
    <w:rsid w:val="00BB68B0"/>
    <w:rsid w:val="00BB6E93"/>
    <w:rsid w:val="00BB7EFD"/>
    <w:rsid w:val="00BC0402"/>
    <w:rsid w:val="00BC0566"/>
    <w:rsid w:val="00BC0A4B"/>
    <w:rsid w:val="00BC0DD1"/>
    <w:rsid w:val="00BC0FA8"/>
    <w:rsid w:val="00BC166C"/>
    <w:rsid w:val="00BC1DF3"/>
    <w:rsid w:val="00BC2026"/>
    <w:rsid w:val="00BC242E"/>
    <w:rsid w:val="00BC29B0"/>
    <w:rsid w:val="00BC367C"/>
    <w:rsid w:val="00BC3735"/>
    <w:rsid w:val="00BC4300"/>
    <w:rsid w:val="00BC4534"/>
    <w:rsid w:val="00BC4C03"/>
    <w:rsid w:val="00BC4D06"/>
    <w:rsid w:val="00BC4EE3"/>
    <w:rsid w:val="00BC50D4"/>
    <w:rsid w:val="00BC5442"/>
    <w:rsid w:val="00BC649E"/>
    <w:rsid w:val="00BC695B"/>
    <w:rsid w:val="00BC6BAC"/>
    <w:rsid w:val="00BC7C4B"/>
    <w:rsid w:val="00BD06F0"/>
    <w:rsid w:val="00BD0B97"/>
    <w:rsid w:val="00BD1277"/>
    <w:rsid w:val="00BD1455"/>
    <w:rsid w:val="00BD16C6"/>
    <w:rsid w:val="00BD1AA8"/>
    <w:rsid w:val="00BD1AB7"/>
    <w:rsid w:val="00BD1C60"/>
    <w:rsid w:val="00BD1C75"/>
    <w:rsid w:val="00BD1F1A"/>
    <w:rsid w:val="00BD2650"/>
    <w:rsid w:val="00BD2FDB"/>
    <w:rsid w:val="00BD3834"/>
    <w:rsid w:val="00BD3A31"/>
    <w:rsid w:val="00BD3F9D"/>
    <w:rsid w:val="00BD426C"/>
    <w:rsid w:val="00BD5824"/>
    <w:rsid w:val="00BD5910"/>
    <w:rsid w:val="00BD595C"/>
    <w:rsid w:val="00BD59D7"/>
    <w:rsid w:val="00BD71E6"/>
    <w:rsid w:val="00BD7D11"/>
    <w:rsid w:val="00BD7E54"/>
    <w:rsid w:val="00BE0309"/>
    <w:rsid w:val="00BE0611"/>
    <w:rsid w:val="00BE07CF"/>
    <w:rsid w:val="00BE12CB"/>
    <w:rsid w:val="00BE1584"/>
    <w:rsid w:val="00BE1719"/>
    <w:rsid w:val="00BE1880"/>
    <w:rsid w:val="00BE1EBC"/>
    <w:rsid w:val="00BE218D"/>
    <w:rsid w:val="00BE22B0"/>
    <w:rsid w:val="00BE2C50"/>
    <w:rsid w:val="00BE3644"/>
    <w:rsid w:val="00BE4007"/>
    <w:rsid w:val="00BE444B"/>
    <w:rsid w:val="00BE47F3"/>
    <w:rsid w:val="00BE49FE"/>
    <w:rsid w:val="00BE523C"/>
    <w:rsid w:val="00BE5F7D"/>
    <w:rsid w:val="00BE6338"/>
    <w:rsid w:val="00BE682B"/>
    <w:rsid w:val="00BE6BEB"/>
    <w:rsid w:val="00BE7B29"/>
    <w:rsid w:val="00BE7B35"/>
    <w:rsid w:val="00BF01A4"/>
    <w:rsid w:val="00BF0A00"/>
    <w:rsid w:val="00BF11D5"/>
    <w:rsid w:val="00BF1F5B"/>
    <w:rsid w:val="00BF22EA"/>
    <w:rsid w:val="00BF2310"/>
    <w:rsid w:val="00BF2405"/>
    <w:rsid w:val="00BF293A"/>
    <w:rsid w:val="00BF34EC"/>
    <w:rsid w:val="00BF3E0D"/>
    <w:rsid w:val="00BF42A0"/>
    <w:rsid w:val="00BF4715"/>
    <w:rsid w:val="00BF4775"/>
    <w:rsid w:val="00BF4D7C"/>
    <w:rsid w:val="00BF5173"/>
    <w:rsid w:val="00BF549B"/>
    <w:rsid w:val="00BF5A45"/>
    <w:rsid w:val="00BF5D1D"/>
    <w:rsid w:val="00BF5E16"/>
    <w:rsid w:val="00BF644C"/>
    <w:rsid w:val="00BF69C1"/>
    <w:rsid w:val="00BF6AC7"/>
    <w:rsid w:val="00BF6F20"/>
    <w:rsid w:val="00BF74E6"/>
    <w:rsid w:val="00BF7EE7"/>
    <w:rsid w:val="00C00256"/>
    <w:rsid w:val="00C007B5"/>
    <w:rsid w:val="00C01364"/>
    <w:rsid w:val="00C015ED"/>
    <w:rsid w:val="00C01D51"/>
    <w:rsid w:val="00C01E81"/>
    <w:rsid w:val="00C02050"/>
    <w:rsid w:val="00C0260F"/>
    <w:rsid w:val="00C039AD"/>
    <w:rsid w:val="00C04181"/>
    <w:rsid w:val="00C04F25"/>
    <w:rsid w:val="00C04FF8"/>
    <w:rsid w:val="00C053C1"/>
    <w:rsid w:val="00C05490"/>
    <w:rsid w:val="00C05539"/>
    <w:rsid w:val="00C06149"/>
    <w:rsid w:val="00C06F74"/>
    <w:rsid w:val="00C0711A"/>
    <w:rsid w:val="00C07349"/>
    <w:rsid w:val="00C07D68"/>
    <w:rsid w:val="00C07D93"/>
    <w:rsid w:val="00C102C3"/>
    <w:rsid w:val="00C1031E"/>
    <w:rsid w:val="00C10405"/>
    <w:rsid w:val="00C10BEE"/>
    <w:rsid w:val="00C113BA"/>
    <w:rsid w:val="00C1147A"/>
    <w:rsid w:val="00C118A4"/>
    <w:rsid w:val="00C11E17"/>
    <w:rsid w:val="00C12264"/>
    <w:rsid w:val="00C1289F"/>
    <w:rsid w:val="00C12D02"/>
    <w:rsid w:val="00C135CF"/>
    <w:rsid w:val="00C13A93"/>
    <w:rsid w:val="00C148B2"/>
    <w:rsid w:val="00C14EE3"/>
    <w:rsid w:val="00C14EFD"/>
    <w:rsid w:val="00C1502F"/>
    <w:rsid w:val="00C15D3E"/>
    <w:rsid w:val="00C15D85"/>
    <w:rsid w:val="00C15E62"/>
    <w:rsid w:val="00C1609F"/>
    <w:rsid w:val="00C160B6"/>
    <w:rsid w:val="00C16500"/>
    <w:rsid w:val="00C1688D"/>
    <w:rsid w:val="00C1733F"/>
    <w:rsid w:val="00C17534"/>
    <w:rsid w:val="00C17596"/>
    <w:rsid w:val="00C20258"/>
    <w:rsid w:val="00C205FB"/>
    <w:rsid w:val="00C20C61"/>
    <w:rsid w:val="00C21055"/>
    <w:rsid w:val="00C214A8"/>
    <w:rsid w:val="00C22DD9"/>
    <w:rsid w:val="00C22F8A"/>
    <w:rsid w:val="00C230AF"/>
    <w:rsid w:val="00C232C9"/>
    <w:rsid w:val="00C234A3"/>
    <w:rsid w:val="00C234EA"/>
    <w:rsid w:val="00C235FD"/>
    <w:rsid w:val="00C23C4C"/>
    <w:rsid w:val="00C242F5"/>
    <w:rsid w:val="00C24C9D"/>
    <w:rsid w:val="00C255A6"/>
    <w:rsid w:val="00C25813"/>
    <w:rsid w:val="00C25E3B"/>
    <w:rsid w:val="00C260C1"/>
    <w:rsid w:val="00C264CC"/>
    <w:rsid w:val="00C26585"/>
    <w:rsid w:val="00C267E4"/>
    <w:rsid w:val="00C26843"/>
    <w:rsid w:val="00C26C20"/>
    <w:rsid w:val="00C26D34"/>
    <w:rsid w:val="00C270CB"/>
    <w:rsid w:val="00C2726D"/>
    <w:rsid w:val="00C27665"/>
    <w:rsid w:val="00C27B20"/>
    <w:rsid w:val="00C30267"/>
    <w:rsid w:val="00C3108E"/>
    <w:rsid w:val="00C312CE"/>
    <w:rsid w:val="00C3142B"/>
    <w:rsid w:val="00C31804"/>
    <w:rsid w:val="00C31B6B"/>
    <w:rsid w:val="00C31E79"/>
    <w:rsid w:val="00C31F65"/>
    <w:rsid w:val="00C32444"/>
    <w:rsid w:val="00C32B2C"/>
    <w:rsid w:val="00C33FEA"/>
    <w:rsid w:val="00C34512"/>
    <w:rsid w:val="00C34D23"/>
    <w:rsid w:val="00C34D95"/>
    <w:rsid w:val="00C35EBE"/>
    <w:rsid w:val="00C3621B"/>
    <w:rsid w:val="00C363A9"/>
    <w:rsid w:val="00C369CA"/>
    <w:rsid w:val="00C371A7"/>
    <w:rsid w:val="00C377F8"/>
    <w:rsid w:val="00C37C1E"/>
    <w:rsid w:val="00C41224"/>
    <w:rsid w:val="00C41289"/>
    <w:rsid w:val="00C41373"/>
    <w:rsid w:val="00C414EC"/>
    <w:rsid w:val="00C4266B"/>
    <w:rsid w:val="00C4329B"/>
    <w:rsid w:val="00C43417"/>
    <w:rsid w:val="00C4433F"/>
    <w:rsid w:val="00C44535"/>
    <w:rsid w:val="00C44EAF"/>
    <w:rsid w:val="00C44F2A"/>
    <w:rsid w:val="00C44F76"/>
    <w:rsid w:val="00C45A89"/>
    <w:rsid w:val="00C45C31"/>
    <w:rsid w:val="00C4616D"/>
    <w:rsid w:val="00C500DD"/>
    <w:rsid w:val="00C50182"/>
    <w:rsid w:val="00C51163"/>
    <w:rsid w:val="00C5178C"/>
    <w:rsid w:val="00C51A40"/>
    <w:rsid w:val="00C52516"/>
    <w:rsid w:val="00C53665"/>
    <w:rsid w:val="00C5389F"/>
    <w:rsid w:val="00C54A67"/>
    <w:rsid w:val="00C54C73"/>
    <w:rsid w:val="00C54D6E"/>
    <w:rsid w:val="00C551C5"/>
    <w:rsid w:val="00C559B6"/>
    <w:rsid w:val="00C55EF8"/>
    <w:rsid w:val="00C5604B"/>
    <w:rsid w:val="00C561E8"/>
    <w:rsid w:val="00C56244"/>
    <w:rsid w:val="00C5667B"/>
    <w:rsid w:val="00C5727E"/>
    <w:rsid w:val="00C57A56"/>
    <w:rsid w:val="00C57E29"/>
    <w:rsid w:val="00C60221"/>
    <w:rsid w:val="00C60877"/>
    <w:rsid w:val="00C60A77"/>
    <w:rsid w:val="00C60B0B"/>
    <w:rsid w:val="00C611A2"/>
    <w:rsid w:val="00C612FB"/>
    <w:rsid w:val="00C61866"/>
    <w:rsid w:val="00C621CD"/>
    <w:rsid w:val="00C62903"/>
    <w:rsid w:val="00C6398E"/>
    <w:rsid w:val="00C640BB"/>
    <w:rsid w:val="00C64623"/>
    <w:rsid w:val="00C65296"/>
    <w:rsid w:val="00C65591"/>
    <w:rsid w:val="00C65A74"/>
    <w:rsid w:val="00C65E6F"/>
    <w:rsid w:val="00C66053"/>
    <w:rsid w:val="00C662C4"/>
    <w:rsid w:val="00C66BCD"/>
    <w:rsid w:val="00C66E53"/>
    <w:rsid w:val="00C673FB"/>
    <w:rsid w:val="00C67894"/>
    <w:rsid w:val="00C67BC1"/>
    <w:rsid w:val="00C7005D"/>
    <w:rsid w:val="00C70E29"/>
    <w:rsid w:val="00C713EF"/>
    <w:rsid w:val="00C71EFD"/>
    <w:rsid w:val="00C72181"/>
    <w:rsid w:val="00C72FEA"/>
    <w:rsid w:val="00C7335A"/>
    <w:rsid w:val="00C73548"/>
    <w:rsid w:val="00C73562"/>
    <w:rsid w:val="00C738C4"/>
    <w:rsid w:val="00C73BF6"/>
    <w:rsid w:val="00C73FB5"/>
    <w:rsid w:val="00C740B5"/>
    <w:rsid w:val="00C74758"/>
    <w:rsid w:val="00C74F96"/>
    <w:rsid w:val="00C75276"/>
    <w:rsid w:val="00C754C0"/>
    <w:rsid w:val="00C75A76"/>
    <w:rsid w:val="00C76311"/>
    <w:rsid w:val="00C76865"/>
    <w:rsid w:val="00C769D0"/>
    <w:rsid w:val="00C76BE7"/>
    <w:rsid w:val="00C773E2"/>
    <w:rsid w:val="00C7778F"/>
    <w:rsid w:val="00C777EA"/>
    <w:rsid w:val="00C77B92"/>
    <w:rsid w:val="00C77FCB"/>
    <w:rsid w:val="00C80131"/>
    <w:rsid w:val="00C80321"/>
    <w:rsid w:val="00C80840"/>
    <w:rsid w:val="00C8089F"/>
    <w:rsid w:val="00C8113A"/>
    <w:rsid w:val="00C81722"/>
    <w:rsid w:val="00C81750"/>
    <w:rsid w:val="00C82285"/>
    <w:rsid w:val="00C82F18"/>
    <w:rsid w:val="00C8301C"/>
    <w:rsid w:val="00C84228"/>
    <w:rsid w:val="00C84460"/>
    <w:rsid w:val="00C846D5"/>
    <w:rsid w:val="00C848C5"/>
    <w:rsid w:val="00C84FA0"/>
    <w:rsid w:val="00C855ED"/>
    <w:rsid w:val="00C874AC"/>
    <w:rsid w:val="00C903E0"/>
    <w:rsid w:val="00C90428"/>
    <w:rsid w:val="00C90814"/>
    <w:rsid w:val="00C9085A"/>
    <w:rsid w:val="00C90979"/>
    <w:rsid w:val="00C90A2D"/>
    <w:rsid w:val="00C90C81"/>
    <w:rsid w:val="00C90F75"/>
    <w:rsid w:val="00C90FE8"/>
    <w:rsid w:val="00C9129A"/>
    <w:rsid w:val="00C912BF"/>
    <w:rsid w:val="00C91796"/>
    <w:rsid w:val="00C92599"/>
    <w:rsid w:val="00C92AA9"/>
    <w:rsid w:val="00C92F11"/>
    <w:rsid w:val="00C93451"/>
    <w:rsid w:val="00C93A63"/>
    <w:rsid w:val="00C94C55"/>
    <w:rsid w:val="00C94CEA"/>
    <w:rsid w:val="00C94FE5"/>
    <w:rsid w:val="00C95527"/>
    <w:rsid w:val="00C95733"/>
    <w:rsid w:val="00C9589F"/>
    <w:rsid w:val="00C95F56"/>
    <w:rsid w:val="00C96E03"/>
    <w:rsid w:val="00C97500"/>
    <w:rsid w:val="00C975E7"/>
    <w:rsid w:val="00CA1356"/>
    <w:rsid w:val="00CA160F"/>
    <w:rsid w:val="00CA19BE"/>
    <w:rsid w:val="00CA19D0"/>
    <w:rsid w:val="00CA1AAB"/>
    <w:rsid w:val="00CA1DFE"/>
    <w:rsid w:val="00CA2527"/>
    <w:rsid w:val="00CA2603"/>
    <w:rsid w:val="00CA266E"/>
    <w:rsid w:val="00CA2E94"/>
    <w:rsid w:val="00CA3937"/>
    <w:rsid w:val="00CA3A06"/>
    <w:rsid w:val="00CA3BB8"/>
    <w:rsid w:val="00CA429B"/>
    <w:rsid w:val="00CA4975"/>
    <w:rsid w:val="00CA4AD7"/>
    <w:rsid w:val="00CA57CF"/>
    <w:rsid w:val="00CA5CA8"/>
    <w:rsid w:val="00CA5F13"/>
    <w:rsid w:val="00CA622F"/>
    <w:rsid w:val="00CA65B9"/>
    <w:rsid w:val="00CA6869"/>
    <w:rsid w:val="00CA7EEA"/>
    <w:rsid w:val="00CB0255"/>
    <w:rsid w:val="00CB04E9"/>
    <w:rsid w:val="00CB097A"/>
    <w:rsid w:val="00CB09DE"/>
    <w:rsid w:val="00CB0E5F"/>
    <w:rsid w:val="00CB1338"/>
    <w:rsid w:val="00CB2015"/>
    <w:rsid w:val="00CB3155"/>
    <w:rsid w:val="00CB32C4"/>
    <w:rsid w:val="00CB39DD"/>
    <w:rsid w:val="00CB3B2B"/>
    <w:rsid w:val="00CB4006"/>
    <w:rsid w:val="00CB45F8"/>
    <w:rsid w:val="00CB4BD8"/>
    <w:rsid w:val="00CB4D1D"/>
    <w:rsid w:val="00CB4F36"/>
    <w:rsid w:val="00CB5574"/>
    <w:rsid w:val="00CB55FF"/>
    <w:rsid w:val="00CB5860"/>
    <w:rsid w:val="00CB5B72"/>
    <w:rsid w:val="00CB64EF"/>
    <w:rsid w:val="00CB6A99"/>
    <w:rsid w:val="00CB6E11"/>
    <w:rsid w:val="00CB70F2"/>
    <w:rsid w:val="00CB72E7"/>
    <w:rsid w:val="00CB7360"/>
    <w:rsid w:val="00CB77D5"/>
    <w:rsid w:val="00CB7D32"/>
    <w:rsid w:val="00CC0654"/>
    <w:rsid w:val="00CC0871"/>
    <w:rsid w:val="00CC0A0C"/>
    <w:rsid w:val="00CC0F2A"/>
    <w:rsid w:val="00CC103C"/>
    <w:rsid w:val="00CC10ED"/>
    <w:rsid w:val="00CC28C3"/>
    <w:rsid w:val="00CC2BD5"/>
    <w:rsid w:val="00CC2EEC"/>
    <w:rsid w:val="00CC2F25"/>
    <w:rsid w:val="00CC302A"/>
    <w:rsid w:val="00CC3A65"/>
    <w:rsid w:val="00CC3B2D"/>
    <w:rsid w:val="00CC463E"/>
    <w:rsid w:val="00CC47F4"/>
    <w:rsid w:val="00CC58AC"/>
    <w:rsid w:val="00CC6E96"/>
    <w:rsid w:val="00CC731A"/>
    <w:rsid w:val="00CC7494"/>
    <w:rsid w:val="00CC79CA"/>
    <w:rsid w:val="00CD0730"/>
    <w:rsid w:val="00CD0C70"/>
    <w:rsid w:val="00CD0DA4"/>
    <w:rsid w:val="00CD1519"/>
    <w:rsid w:val="00CD19E0"/>
    <w:rsid w:val="00CD1A51"/>
    <w:rsid w:val="00CD2121"/>
    <w:rsid w:val="00CD2381"/>
    <w:rsid w:val="00CD29C1"/>
    <w:rsid w:val="00CD2A3C"/>
    <w:rsid w:val="00CD32D0"/>
    <w:rsid w:val="00CD3E7A"/>
    <w:rsid w:val="00CD460C"/>
    <w:rsid w:val="00CD476B"/>
    <w:rsid w:val="00CD504D"/>
    <w:rsid w:val="00CD5612"/>
    <w:rsid w:val="00CD5CE9"/>
    <w:rsid w:val="00CD6565"/>
    <w:rsid w:val="00CD7088"/>
    <w:rsid w:val="00CD762E"/>
    <w:rsid w:val="00CD7ACC"/>
    <w:rsid w:val="00CD7D4A"/>
    <w:rsid w:val="00CD7DA9"/>
    <w:rsid w:val="00CE01E0"/>
    <w:rsid w:val="00CE03C8"/>
    <w:rsid w:val="00CE1036"/>
    <w:rsid w:val="00CE11E5"/>
    <w:rsid w:val="00CE192D"/>
    <w:rsid w:val="00CE1C75"/>
    <w:rsid w:val="00CE1F01"/>
    <w:rsid w:val="00CE2036"/>
    <w:rsid w:val="00CE2CC1"/>
    <w:rsid w:val="00CE31AC"/>
    <w:rsid w:val="00CE333A"/>
    <w:rsid w:val="00CE33EA"/>
    <w:rsid w:val="00CE3578"/>
    <w:rsid w:val="00CE3D41"/>
    <w:rsid w:val="00CE5395"/>
    <w:rsid w:val="00CE54DE"/>
    <w:rsid w:val="00CE6A19"/>
    <w:rsid w:val="00CE6DAB"/>
    <w:rsid w:val="00CE73F2"/>
    <w:rsid w:val="00CE7B38"/>
    <w:rsid w:val="00CF009F"/>
    <w:rsid w:val="00CF0A30"/>
    <w:rsid w:val="00CF17FF"/>
    <w:rsid w:val="00CF1A64"/>
    <w:rsid w:val="00CF21A2"/>
    <w:rsid w:val="00CF4179"/>
    <w:rsid w:val="00CF4352"/>
    <w:rsid w:val="00CF4464"/>
    <w:rsid w:val="00CF4481"/>
    <w:rsid w:val="00CF4DE6"/>
    <w:rsid w:val="00CF5139"/>
    <w:rsid w:val="00CF53AC"/>
    <w:rsid w:val="00CF60EB"/>
    <w:rsid w:val="00CF64EA"/>
    <w:rsid w:val="00CF6E94"/>
    <w:rsid w:val="00CF7682"/>
    <w:rsid w:val="00D00C87"/>
    <w:rsid w:val="00D0126A"/>
    <w:rsid w:val="00D016CD"/>
    <w:rsid w:val="00D0271D"/>
    <w:rsid w:val="00D032A7"/>
    <w:rsid w:val="00D03DA7"/>
    <w:rsid w:val="00D04036"/>
    <w:rsid w:val="00D04130"/>
    <w:rsid w:val="00D0569A"/>
    <w:rsid w:val="00D060BB"/>
    <w:rsid w:val="00D06141"/>
    <w:rsid w:val="00D06889"/>
    <w:rsid w:val="00D06C82"/>
    <w:rsid w:val="00D072BA"/>
    <w:rsid w:val="00D07C64"/>
    <w:rsid w:val="00D07D69"/>
    <w:rsid w:val="00D07E6F"/>
    <w:rsid w:val="00D104F7"/>
    <w:rsid w:val="00D107BC"/>
    <w:rsid w:val="00D10CD8"/>
    <w:rsid w:val="00D10EB8"/>
    <w:rsid w:val="00D10F06"/>
    <w:rsid w:val="00D11762"/>
    <w:rsid w:val="00D1201B"/>
    <w:rsid w:val="00D12AE3"/>
    <w:rsid w:val="00D1305E"/>
    <w:rsid w:val="00D1362C"/>
    <w:rsid w:val="00D13995"/>
    <w:rsid w:val="00D13CE8"/>
    <w:rsid w:val="00D147E3"/>
    <w:rsid w:val="00D14AA7"/>
    <w:rsid w:val="00D14BFE"/>
    <w:rsid w:val="00D14DF2"/>
    <w:rsid w:val="00D1513D"/>
    <w:rsid w:val="00D152B9"/>
    <w:rsid w:val="00D159B7"/>
    <w:rsid w:val="00D1607B"/>
    <w:rsid w:val="00D167F3"/>
    <w:rsid w:val="00D16D2F"/>
    <w:rsid w:val="00D175CE"/>
    <w:rsid w:val="00D17717"/>
    <w:rsid w:val="00D213B9"/>
    <w:rsid w:val="00D21704"/>
    <w:rsid w:val="00D21C7C"/>
    <w:rsid w:val="00D220CD"/>
    <w:rsid w:val="00D228D8"/>
    <w:rsid w:val="00D22F2A"/>
    <w:rsid w:val="00D232B0"/>
    <w:rsid w:val="00D234B1"/>
    <w:rsid w:val="00D236CC"/>
    <w:rsid w:val="00D23F13"/>
    <w:rsid w:val="00D2508E"/>
    <w:rsid w:val="00D25648"/>
    <w:rsid w:val="00D25DC0"/>
    <w:rsid w:val="00D26506"/>
    <w:rsid w:val="00D26AA7"/>
    <w:rsid w:val="00D26CAD"/>
    <w:rsid w:val="00D26E06"/>
    <w:rsid w:val="00D27045"/>
    <w:rsid w:val="00D27416"/>
    <w:rsid w:val="00D2753B"/>
    <w:rsid w:val="00D276E1"/>
    <w:rsid w:val="00D2773C"/>
    <w:rsid w:val="00D27DC2"/>
    <w:rsid w:val="00D27FE2"/>
    <w:rsid w:val="00D3018F"/>
    <w:rsid w:val="00D30317"/>
    <w:rsid w:val="00D30484"/>
    <w:rsid w:val="00D304F8"/>
    <w:rsid w:val="00D30C22"/>
    <w:rsid w:val="00D315DA"/>
    <w:rsid w:val="00D31646"/>
    <w:rsid w:val="00D327B3"/>
    <w:rsid w:val="00D32C2D"/>
    <w:rsid w:val="00D33298"/>
    <w:rsid w:val="00D33C9C"/>
    <w:rsid w:val="00D33F4E"/>
    <w:rsid w:val="00D349EA"/>
    <w:rsid w:val="00D34B30"/>
    <w:rsid w:val="00D35D3B"/>
    <w:rsid w:val="00D35ED6"/>
    <w:rsid w:val="00D36093"/>
    <w:rsid w:val="00D36AEE"/>
    <w:rsid w:val="00D37500"/>
    <w:rsid w:val="00D375EA"/>
    <w:rsid w:val="00D3793E"/>
    <w:rsid w:val="00D37996"/>
    <w:rsid w:val="00D37FD4"/>
    <w:rsid w:val="00D4050B"/>
    <w:rsid w:val="00D40F5E"/>
    <w:rsid w:val="00D41898"/>
    <w:rsid w:val="00D42222"/>
    <w:rsid w:val="00D42550"/>
    <w:rsid w:val="00D42757"/>
    <w:rsid w:val="00D42807"/>
    <w:rsid w:val="00D4323C"/>
    <w:rsid w:val="00D43523"/>
    <w:rsid w:val="00D44166"/>
    <w:rsid w:val="00D44264"/>
    <w:rsid w:val="00D44CE0"/>
    <w:rsid w:val="00D454E8"/>
    <w:rsid w:val="00D45BD2"/>
    <w:rsid w:val="00D45E09"/>
    <w:rsid w:val="00D45EE9"/>
    <w:rsid w:val="00D46635"/>
    <w:rsid w:val="00D46A86"/>
    <w:rsid w:val="00D46C2C"/>
    <w:rsid w:val="00D4723A"/>
    <w:rsid w:val="00D4782F"/>
    <w:rsid w:val="00D47AE1"/>
    <w:rsid w:val="00D501D2"/>
    <w:rsid w:val="00D5057C"/>
    <w:rsid w:val="00D505A9"/>
    <w:rsid w:val="00D50778"/>
    <w:rsid w:val="00D5093E"/>
    <w:rsid w:val="00D5108F"/>
    <w:rsid w:val="00D528D1"/>
    <w:rsid w:val="00D52A78"/>
    <w:rsid w:val="00D53823"/>
    <w:rsid w:val="00D5397D"/>
    <w:rsid w:val="00D53A13"/>
    <w:rsid w:val="00D5404B"/>
    <w:rsid w:val="00D5410E"/>
    <w:rsid w:val="00D5427C"/>
    <w:rsid w:val="00D54306"/>
    <w:rsid w:val="00D54FD2"/>
    <w:rsid w:val="00D55105"/>
    <w:rsid w:val="00D55882"/>
    <w:rsid w:val="00D56603"/>
    <w:rsid w:val="00D56D1E"/>
    <w:rsid w:val="00D56E69"/>
    <w:rsid w:val="00D57648"/>
    <w:rsid w:val="00D6002A"/>
    <w:rsid w:val="00D60230"/>
    <w:rsid w:val="00D607A5"/>
    <w:rsid w:val="00D6099E"/>
    <w:rsid w:val="00D60A2B"/>
    <w:rsid w:val="00D61932"/>
    <w:rsid w:val="00D61AB9"/>
    <w:rsid w:val="00D61CCE"/>
    <w:rsid w:val="00D61DF2"/>
    <w:rsid w:val="00D622F3"/>
    <w:rsid w:val="00D62327"/>
    <w:rsid w:val="00D62B40"/>
    <w:rsid w:val="00D6328A"/>
    <w:rsid w:val="00D6344F"/>
    <w:rsid w:val="00D64AE8"/>
    <w:rsid w:val="00D64EB9"/>
    <w:rsid w:val="00D65496"/>
    <w:rsid w:val="00D6588B"/>
    <w:rsid w:val="00D65B1D"/>
    <w:rsid w:val="00D6650E"/>
    <w:rsid w:val="00D66556"/>
    <w:rsid w:val="00D6709B"/>
    <w:rsid w:val="00D70DEB"/>
    <w:rsid w:val="00D71468"/>
    <w:rsid w:val="00D715A6"/>
    <w:rsid w:val="00D721E3"/>
    <w:rsid w:val="00D722F3"/>
    <w:rsid w:val="00D7258E"/>
    <w:rsid w:val="00D72914"/>
    <w:rsid w:val="00D72E5B"/>
    <w:rsid w:val="00D72FC0"/>
    <w:rsid w:val="00D73441"/>
    <w:rsid w:val="00D7374C"/>
    <w:rsid w:val="00D73752"/>
    <w:rsid w:val="00D743D2"/>
    <w:rsid w:val="00D752BC"/>
    <w:rsid w:val="00D75460"/>
    <w:rsid w:val="00D75628"/>
    <w:rsid w:val="00D759D8"/>
    <w:rsid w:val="00D75D9F"/>
    <w:rsid w:val="00D760B1"/>
    <w:rsid w:val="00D76470"/>
    <w:rsid w:val="00D76C5D"/>
    <w:rsid w:val="00D77227"/>
    <w:rsid w:val="00D77D32"/>
    <w:rsid w:val="00D8045C"/>
    <w:rsid w:val="00D81721"/>
    <w:rsid w:val="00D819EC"/>
    <w:rsid w:val="00D81A0E"/>
    <w:rsid w:val="00D81B2A"/>
    <w:rsid w:val="00D821C6"/>
    <w:rsid w:val="00D82CA0"/>
    <w:rsid w:val="00D83003"/>
    <w:rsid w:val="00D831F3"/>
    <w:rsid w:val="00D8396A"/>
    <w:rsid w:val="00D83EFF"/>
    <w:rsid w:val="00D84E61"/>
    <w:rsid w:val="00D85063"/>
    <w:rsid w:val="00D853C5"/>
    <w:rsid w:val="00D85D4F"/>
    <w:rsid w:val="00D85EDB"/>
    <w:rsid w:val="00D8668E"/>
    <w:rsid w:val="00D86BCF"/>
    <w:rsid w:val="00D876ED"/>
    <w:rsid w:val="00D87D92"/>
    <w:rsid w:val="00D90A81"/>
    <w:rsid w:val="00D911A6"/>
    <w:rsid w:val="00D911F3"/>
    <w:rsid w:val="00D91BB3"/>
    <w:rsid w:val="00D91FB7"/>
    <w:rsid w:val="00D921DE"/>
    <w:rsid w:val="00D924F7"/>
    <w:rsid w:val="00D92C59"/>
    <w:rsid w:val="00D9300F"/>
    <w:rsid w:val="00D9313F"/>
    <w:rsid w:val="00D93198"/>
    <w:rsid w:val="00D9353C"/>
    <w:rsid w:val="00D93AB5"/>
    <w:rsid w:val="00D9403D"/>
    <w:rsid w:val="00D947DE"/>
    <w:rsid w:val="00D948C5"/>
    <w:rsid w:val="00D94DAC"/>
    <w:rsid w:val="00D95616"/>
    <w:rsid w:val="00D966DC"/>
    <w:rsid w:val="00D97FDC"/>
    <w:rsid w:val="00DA0095"/>
    <w:rsid w:val="00DA08AF"/>
    <w:rsid w:val="00DA0CEB"/>
    <w:rsid w:val="00DA16BA"/>
    <w:rsid w:val="00DA1924"/>
    <w:rsid w:val="00DA1F6A"/>
    <w:rsid w:val="00DA2420"/>
    <w:rsid w:val="00DA278C"/>
    <w:rsid w:val="00DA27E4"/>
    <w:rsid w:val="00DA2D1B"/>
    <w:rsid w:val="00DA2D2F"/>
    <w:rsid w:val="00DA3679"/>
    <w:rsid w:val="00DA3DB3"/>
    <w:rsid w:val="00DA43F5"/>
    <w:rsid w:val="00DA4FED"/>
    <w:rsid w:val="00DA540D"/>
    <w:rsid w:val="00DA5518"/>
    <w:rsid w:val="00DA6040"/>
    <w:rsid w:val="00DA6256"/>
    <w:rsid w:val="00DA62BD"/>
    <w:rsid w:val="00DA67E7"/>
    <w:rsid w:val="00DA6853"/>
    <w:rsid w:val="00DA6D8F"/>
    <w:rsid w:val="00DA7301"/>
    <w:rsid w:val="00DA75A4"/>
    <w:rsid w:val="00DA7772"/>
    <w:rsid w:val="00DA78E8"/>
    <w:rsid w:val="00DA7B2F"/>
    <w:rsid w:val="00DA7D5C"/>
    <w:rsid w:val="00DB036A"/>
    <w:rsid w:val="00DB07D9"/>
    <w:rsid w:val="00DB09C2"/>
    <w:rsid w:val="00DB0BF4"/>
    <w:rsid w:val="00DB1077"/>
    <w:rsid w:val="00DB12E7"/>
    <w:rsid w:val="00DB19BD"/>
    <w:rsid w:val="00DB2838"/>
    <w:rsid w:val="00DB29AD"/>
    <w:rsid w:val="00DB2A38"/>
    <w:rsid w:val="00DB2A47"/>
    <w:rsid w:val="00DB3225"/>
    <w:rsid w:val="00DB3247"/>
    <w:rsid w:val="00DB380C"/>
    <w:rsid w:val="00DB3A86"/>
    <w:rsid w:val="00DB3F89"/>
    <w:rsid w:val="00DB53D9"/>
    <w:rsid w:val="00DB57E0"/>
    <w:rsid w:val="00DB5FD0"/>
    <w:rsid w:val="00DB606D"/>
    <w:rsid w:val="00DB6258"/>
    <w:rsid w:val="00DB62A1"/>
    <w:rsid w:val="00DB6D82"/>
    <w:rsid w:val="00DB76F0"/>
    <w:rsid w:val="00DC02E8"/>
    <w:rsid w:val="00DC0BB9"/>
    <w:rsid w:val="00DC0D5E"/>
    <w:rsid w:val="00DC1945"/>
    <w:rsid w:val="00DC25D9"/>
    <w:rsid w:val="00DC2C92"/>
    <w:rsid w:val="00DC3281"/>
    <w:rsid w:val="00DC3652"/>
    <w:rsid w:val="00DC36EE"/>
    <w:rsid w:val="00DC3B74"/>
    <w:rsid w:val="00DC5AC9"/>
    <w:rsid w:val="00DC5AE6"/>
    <w:rsid w:val="00DC62EF"/>
    <w:rsid w:val="00DC69FC"/>
    <w:rsid w:val="00DC6B3A"/>
    <w:rsid w:val="00DC749E"/>
    <w:rsid w:val="00DC7922"/>
    <w:rsid w:val="00DC7972"/>
    <w:rsid w:val="00DC7A52"/>
    <w:rsid w:val="00DD0249"/>
    <w:rsid w:val="00DD0EA3"/>
    <w:rsid w:val="00DD0F2F"/>
    <w:rsid w:val="00DD143F"/>
    <w:rsid w:val="00DD1472"/>
    <w:rsid w:val="00DD22A9"/>
    <w:rsid w:val="00DD293B"/>
    <w:rsid w:val="00DD2C96"/>
    <w:rsid w:val="00DD2E9E"/>
    <w:rsid w:val="00DD34A8"/>
    <w:rsid w:val="00DD365E"/>
    <w:rsid w:val="00DD3B69"/>
    <w:rsid w:val="00DD3F06"/>
    <w:rsid w:val="00DD400A"/>
    <w:rsid w:val="00DD42C2"/>
    <w:rsid w:val="00DD480D"/>
    <w:rsid w:val="00DD48E5"/>
    <w:rsid w:val="00DD516E"/>
    <w:rsid w:val="00DD54C4"/>
    <w:rsid w:val="00DD57C3"/>
    <w:rsid w:val="00DD588D"/>
    <w:rsid w:val="00DD6498"/>
    <w:rsid w:val="00DD669C"/>
    <w:rsid w:val="00DD66B8"/>
    <w:rsid w:val="00DD7093"/>
    <w:rsid w:val="00DD78BD"/>
    <w:rsid w:val="00DD7C22"/>
    <w:rsid w:val="00DE009E"/>
    <w:rsid w:val="00DE04B0"/>
    <w:rsid w:val="00DE08F5"/>
    <w:rsid w:val="00DE0E31"/>
    <w:rsid w:val="00DE2238"/>
    <w:rsid w:val="00DE2433"/>
    <w:rsid w:val="00DE2549"/>
    <w:rsid w:val="00DE2CCC"/>
    <w:rsid w:val="00DE30AE"/>
    <w:rsid w:val="00DE3E84"/>
    <w:rsid w:val="00DE4BC4"/>
    <w:rsid w:val="00DE4C2D"/>
    <w:rsid w:val="00DE4E72"/>
    <w:rsid w:val="00DE5018"/>
    <w:rsid w:val="00DE51A5"/>
    <w:rsid w:val="00DE52B9"/>
    <w:rsid w:val="00DE54A3"/>
    <w:rsid w:val="00DE6D1B"/>
    <w:rsid w:val="00DE6DCF"/>
    <w:rsid w:val="00DE71CD"/>
    <w:rsid w:val="00DF00D4"/>
    <w:rsid w:val="00DF0103"/>
    <w:rsid w:val="00DF019E"/>
    <w:rsid w:val="00DF05A4"/>
    <w:rsid w:val="00DF184E"/>
    <w:rsid w:val="00DF18C3"/>
    <w:rsid w:val="00DF19FB"/>
    <w:rsid w:val="00DF1F6E"/>
    <w:rsid w:val="00DF2128"/>
    <w:rsid w:val="00DF264C"/>
    <w:rsid w:val="00DF26DC"/>
    <w:rsid w:val="00DF3549"/>
    <w:rsid w:val="00DF410D"/>
    <w:rsid w:val="00DF41E2"/>
    <w:rsid w:val="00DF41FC"/>
    <w:rsid w:val="00DF5136"/>
    <w:rsid w:val="00DF5724"/>
    <w:rsid w:val="00DF5EA9"/>
    <w:rsid w:val="00DF6645"/>
    <w:rsid w:val="00DF6F5A"/>
    <w:rsid w:val="00DF757C"/>
    <w:rsid w:val="00DF7BEE"/>
    <w:rsid w:val="00E004E1"/>
    <w:rsid w:val="00E00B0A"/>
    <w:rsid w:val="00E00D5A"/>
    <w:rsid w:val="00E00D7D"/>
    <w:rsid w:val="00E0130A"/>
    <w:rsid w:val="00E01623"/>
    <w:rsid w:val="00E02251"/>
    <w:rsid w:val="00E02485"/>
    <w:rsid w:val="00E02943"/>
    <w:rsid w:val="00E02E3D"/>
    <w:rsid w:val="00E0343D"/>
    <w:rsid w:val="00E037AA"/>
    <w:rsid w:val="00E037CC"/>
    <w:rsid w:val="00E03B5A"/>
    <w:rsid w:val="00E044C8"/>
    <w:rsid w:val="00E04600"/>
    <w:rsid w:val="00E06880"/>
    <w:rsid w:val="00E06C6B"/>
    <w:rsid w:val="00E071CB"/>
    <w:rsid w:val="00E078F3"/>
    <w:rsid w:val="00E1024D"/>
    <w:rsid w:val="00E11042"/>
    <w:rsid w:val="00E11A88"/>
    <w:rsid w:val="00E11EB2"/>
    <w:rsid w:val="00E12034"/>
    <w:rsid w:val="00E1287D"/>
    <w:rsid w:val="00E12F25"/>
    <w:rsid w:val="00E12F28"/>
    <w:rsid w:val="00E13250"/>
    <w:rsid w:val="00E13D1C"/>
    <w:rsid w:val="00E145D8"/>
    <w:rsid w:val="00E14844"/>
    <w:rsid w:val="00E14B7D"/>
    <w:rsid w:val="00E1516E"/>
    <w:rsid w:val="00E15456"/>
    <w:rsid w:val="00E15505"/>
    <w:rsid w:val="00E15ACA"/>
    <w:rsid w:val="00E16193"/>
    <w:rsid w:val="00E16EB9"/>
    <w:rsid w:val="00E1732F"/>
    <w:rsid w:val="00E17435"/>
    <w:rsid w:val="00E174F7"/>
    <w:rsid w:val="00E177C9"/>
    <w:rsid w:val="00E17BF1"/>
    <w:rsid w:val="00E2019C"/>
    <w:rsid w:val="00E20BA7"/>
    <w:rsid w:val="00E21ED4"/>
    <w:rsid w:val="00E22785"/>
    <w:rsid w:val="00E240D0"/>
    <w:rsid w:val="00E241AE"/>
    <w:rsid w:val="00E2438B"/>
    <w:rsid w:val="00E24BFB"/>
    <w:rsid w:val="00E266F6"/>
    <w:rsid w:val="00E26DA0"/>
    <w:rsid w:val="00E27227"/>
    <w:rsid w:val="00E27C0B"/>
    <w:rsid w:val="00E30787"/>
    <w:rsid w:val="00E318CC"/>
    <w:rsid w:val="00E31F8E"/>
    <w:rsid w:val="00E32A2D"/>
    <w:rsid w:val="00E32DAB"/>
    <w:rsid w:val="00E3312F"/>
    <w:rsid w:val="00E332DF"/>
    <w:rsid w:val="00E33448"/>
    <w:rsid w:val="00E34569"/>
    <w:rsid w:val="00E34FE1"/>
    <w:rsid w:val="00E35EBD"/>
    <w:rsid w:val="00E366A1"/>
    <w:rsid w:val="00E37DD5"/>
    <w:rsid w:val="00E37EBE"/>
    <w:rsid w:val="00E37EE4"/>
    <w:rsid w:val="00E402F8"/>
    <w:rsid w:val="00E409A2"/>
    <w:rsid w:val="00E41841"/>
    <w:rsid w:val="00E41D0C"/>
    <w:rsid w:val="00E422E8"/>
    <w:rsid w:val="00E42BD0"/>
    <w:rsid w:val="00E433EC"/>
    <w:rsid w:val="00E43CFC"/>
    <w:rsid w:val="00E43D01"/>
    <w:rsid w:val="00E43E38"/>
    <w:rsid w:val="00E44278"/>
    <w:rsid w:val="00E44547"/>
    <w:rsid w:val="00E45116"/>
    <w:rsid w:val="00E45153"/>
    <w:rsid w:val="00E45F11"/>
    <w:rsid w:val="00E460DA"/>
    <w:rsid w:val="00E46AA7"/>
    <w:rsid w:val="00E47981"/>
    <w:rsid w:val="00E50673"/>
    <w:rsid w:val="00E50B18"/>
    <w:rsid w:val="00E50F23"/>
    <w:rsid w:val="00E50F77"/>
    <w:rsid w:val="00E51364"/>
    <w:rsid w:val="00E520A5"/>
    <w:rsid w:val="00E5251F"/>
    <w:rsid w:val="00E52632"/>
    <w:rsid w:val="00E5264B"/>
    <w:rsid w:val="00E532C2"/>
    <w:rsid w:val="00E534DB"/>
    <w:rsid w:val="00E53EEA"/>
    <w:rsid w:val="00E53FAF"/>
    <w:rsid w:val="00E5446B"/>
    <w:rsid w:val="00E55482"/>
    <w:rsid w:val="00E5556C"/>
    <w:rsid w:val="00E55A4F"/>
    <w:rsid w:val="00E562E2"/>
    <w:rsid w:val="00E56FAD"/>
    <w:rsid w:val="00E57264"/>
    <w:rsid w:val="00E57FF0"/>
    <w:rsid w:val="00E6088B"/>
    <w:rsid w:val="00E60C3C"/>
    <w:rsid w:val="00E60CED"/>
    <w:rsid w:val="00E60F7F"/>
    <w:rsid w:val="00E614BE"/>
    <w:rsid w:val="00E61886"/>
    <w:rsid w:val="00E61D48"/>
    <w:rsid w:val="00E61E79"/>
    <w:rsid w:val="00E61EF0"/>
    <w:rsid w:val="00E62074"/>
    <w:rsid w:val="00E620D7"/>
    <w:rsid w:val="00E6270E"/>
    <w:rsid w:val="00E62882"/>
    <w:rsid w:val="00E628DE"/>
    <w:rsid w:val="00E63292"/>
    <w:rsid w:val="00E632EE"/>
    <w:rsid w:val="00E63C63"/>
    <w:rsid w:val="00E63DBE"/>
    <w:rsid w:val="00E64A8D"/>
    <w:rsid w:val="00E65601"/>
    <w:rsid w:val="00E659BE"/>
    <w:rsid w:val="00E65E0C"/>
    <w:rsid w:val="00E66247"/>
    <w:rsid w:val="00E665DB"/>
    <w:rsid w:val="00E66836"/>
    <w:rsid w:val="00E67703"/>
    <w:rsid w:val="00E67862"/>
    <w:rsid w:val="00E67E38"/>
    <w:rsid w:val="00E70445"/>
    <w:rsid w:val="00E7052B"/>
    <w:rsid w:val="00E70C60"/>
    <w:rsid w:val="00E71341"/>
    <w:rsid w:val="00E71457"/>
    <w:rsid w:val="00E71651"/>
    <w:rsid w:val="00E7173A"/>
    <w:rsid w:val="00E72772"/>
    <w:rsid w:val="00E72EB0"/>
    <w:rsid w:val="00E73388"/>
    <w:rsid w:val="00E737D0"/>
    <w:rsid w:val="00E7409A"/>
    <w:rsid w:val="00E74146"/>
    <w:rsid w:val="00E75298"/>
    <w:rsid w:val="00E7560E"/>
    <w:rsid w:val="00E759F3"/>
    <w:rsid w:val="00E770C0"/>
    <w:rsid w:val="00E772F8"/>
    <w:rsid w:val="00E775A3"/>
    <w:rsid w:val="00E77764"/>
    <w:rsid w:val="00E77894"/>
    <w:rsid w:val="00E80561"/>
    <w:rsid w:val="00E80A26"/>
    <w:rsid w:val="00E812D7"/>
    <w:rsid w:val="00E812E8"/>
    <w:rsid w:val="00E81359"/>
    <w:rsid w:val="00E81581"/>
    <w:rsid w:val="00E81A07"/>
    <w:rsid w:val="00E81E28"/>
    <w:rsid w:val="00E824BE"/>
    <w:rsid w:val="00E82505"/>
    <w:rsid w:val="00E832E3"/>
    <w:rsid w:val="00E833EC"/>
    <w:rsid w:val="00E843F7"/>
    <w:rsid w:val="00E84991"/>
    <w:rsid w:val="00E84A33"/>
    <w:rsid w:val="00E8510A"/>
    <w:rsid w:val="00E85BAD"/>
    <w:rsid w:val="00E85ECF"/>
    <w:rsid w:val="00E85EED"/>
    <w:rsid w:val="00E868E8"/>
    <w:rsid w:val="00E86D52"/>
    <w:rsid w:val="00E8736C"/>
    <w:rsid w:val="00E8741E"/>
    <w:rsid w:val="00E879B2"/>
    <w:rsid w:val="00E90741"/>
    <w:rsid w:val="00E92223"/>
    <w:rsid w:val="00E92B36"/>
    <w:rsid w:val="00E93715"/>
    <w:rsid w:val="00E9444F"/>
    <w:rsid w:val="00E94C43"/>
    <w:rsid w:val="00E94DFD"/>
    <w:rsid w:val="00E960C9"/>
    <w:rsid w:val="00E96821"/>
    <w:rsid w:val="00E969A6"/>
    <w:rsid w:val="00E96DE5"/>
    <w:rsid w:val="00E97219"/>
    <w:rsid w:val="00E974CF"/>
    <w:rsid w:val="00E97871"/>
    <w:rsid w:val="00EA0E51"/>
    <w:rsid w:val="00EA2716"/>
    <w:rsid w:val="00EA2E83"/>
    <w:rsid w:val="00EA2EFD"/>
    <w:rsid w:val="00EA4242"/>
    <w:rsid w:val="00EA5171"/>
    <w:rsid w:val="00EA5C0F"/>
    <w:rsid w:val="00EA6579"/>
    <w:rsid w:val="00EA7335"/>
    <w:rsid w:val="00EA7FDA"/>
    <w:rsid w:val="00EB02B9"/>
    <w:rsid w:val="00EB05E1"/>
    <w:rsid w:val="00EB0665"/>
    <w:rsid w:val="00EB090D"/>
    <w:rsid w:val="00EB09F1"/>
    <w:rsid w:val="00EB0CF3"/>
    <w:rsid w:val="00EB0FD0"/>
    <w:rsid w:val="00EB1556"/>
    <w:rsid w:val="00EB17D8"/>
    <w:rsid w:val="00EB18EE"/>
    <w:rsid w:val="00EB1FC3"/>
    <w:rsid w:val="00EB2735"/>
    <w:rsid w:val="00EB283D"/>
    <w:rsid w:val="00EB395E"/>
    <w:rsid w:val="00EB3A87"/>
    <w:rsid w:val="00EB3C9D"/>
    <w:rsid w:val="00EB4674"/>
    <w:rsid w:val="00EB4B97"/>
    <w:rsid w:val="00EB5288"/>
    <w:rsid w:val="00EB5A6A"/>
    <w:rsid w:val="00EB5ADB"/>
    <w:rsid w:val="00EB5C57"/>
    <w:rsid w:val="00EB5DCE"/>
    <w:rsid w:val="00EB5E5D"/>
    <w:rsid w:val="00EB5FBC"/>
    <w:rsid w:val="00EB610A"/>
    <w:rsid w:val="00EB6439"/>
    <w:rsid w:val="00EB6883"/>
    <w:rsid w:val="00EB71BD"/>
    <w:rsid w:val="00EB7A60"/>
    <w:rsid w:val="00EB7B43"/>
    <w:rsid w:val="00EB7D56"/>
    <w:rsid w:val="00EB7D9E"/>
    <w:rsid w:val="00EC00C2"/>
    <w:rsid w:val="00EC010A"/>
    <w:rsid w:val="00EC181D"/>
    <w:rsid w:val="00EC1C27"/>
    <w:rsid w:val="00EC278E"/>
    <w:rsid w:val="00EC2A82"/>
    <w:rsid w:val="00EC4025"/>
    <w:rsid w:val="00EC580B"/>
    <w:rsid w:val="00EC5C06"/>
    <w:rsid w:val="00EC5C69"/>
    <w:rsid w:val="00EC5D7A"/>
    <w:rsid w:val="00EC62FE"/>
    <w:rsid w:val="00EC7294"/>
    <w:rsid w:val="00EC742D"/>
    <w:rsid w:val="00ED04EB"/>
    <w:rsid w:val="00ED0510"/>
    <w:rsid w:val="00ED10DB"/>
    <w:rsid w:val="00ED1AAA"/>
    <w:rsid w:val="00ED1B67"/>
    <w:rsid w:val="00ED1C5F"/>
    <w:rsid w:val="00ED1D1A"/>
    <w:rsid w:val="00ED24BA"/>
    <w:rsid w:val="00ED2C5D"/>
    <w:rsid w:val="00ED3424"/>
    <w:rsid w:val="00ED359B"/>
    <w:rsid w:val="00ED3697"/>
    <w:rsid w:val="00ED3F16"/>
    <w:rsid w:val="00ED4465"/>
    <w:rsid w:val="00ED5370"/>
    <w:rsid w:val="00ED5745"/>
    <w:rsid w:val="00ED59B1"/>
    <w:rsid w:val="00ED5CF7"/>
    <w:rsid w:val="00ED62DA"/>
    <w:rsid w:val="00ED661E"/>
    <w:rsid w:val="00ED6BAF"/>
    <w:rsid w:val="00ED7EC6"/>
    <w:rsid w:val="00EE1889"/>
    <w:rsid w:val="00EE1897"/>
    <w:rsid w:val="00EE1E5B"/>
    <w:rsid w:val="00EE2BCD"/>
    <w:rsid w:val="00EE3011"/>
    <w:rsid w:val="00EE3489"/>
    <w:rsid w:val="00EE3E27"/>
    <w:rsid w:val="00EE4787"/>
    <w:rsid w:val="00EE5001"/>
    <w:rsid w:val="00EE5605"/>
    <w:rsid w:val="00EE5867"/>
    <w:rsid w:val="00EE5E4E"/>
    <w:rsid w:val="00EE5E57"/>
    <w:rsid w:val="00EE64DA"/>
    <w:rsid w:val="00EE6510"/>
    <w:rsid w:val="00EE65D5"/>
    <w:rsid w:val="00EE7103"/>
    <w:rsid w:val="00EE7A9C"/>
    <w:rsid w:val="00EE7BF4"/>
    <w:rsid w:val="00EF03C3"/>
    <w:rsid w:val="00EF0FB3"/>
    <w:rsid w:val="00EF124F"/>
    <w:rsid w:val="00EF126D"/>
    <w:rsid w:val="00EF1FD4"/>
    <w:rsid w:val="00EF2A52"/>
    <w:rsid w:val="00EF2D23"/>
    <w:rsid w:val="00EF316C"/>
    <w:rsid w:val="00EF3C1D"/>
    <w:rsid w:val="00EF450F"/>
    <w:rsid w:val="00EF4AD2"/>
    <w:rsid w:val="00EF5353"/>
    <w:rsid w:val="00EF5F0F"/>
    <w:rsid w:val="00EF62F6"/>
    <w:rsid w:val="00EF6567"/>
    <w:rsid w:val="00EF65BA"/>
    <w:rsid w:val="00EF6D94"/>
    <w:rsid w:val="00EF6ED9"/>
    <w:rsid w:val="00EF76FA"/>
    <w:rsid w:val="00EF7791"/>
    <w:rsid w:val="00EF7C15"/>
    <w:rsid w:val="00F00677"/>
    <w:rsid w:val="00F00AA0"/>
    <w:rsid w:val="00F00AD8"/>
    <w:rsid w:val="00F00FA6"/>
    <w:rsid w:val="00F0107A"/>
    <w:rsid w:val="00F015E8"/>
    <w:rsid w:val="00F01B58"/>
    <w:rsid w:val="00F0217B"/>
    <w:rsid w:val="00F02570"/>
    <w:rsid w:val="00F03A18"/>
    <w:rsid w:val="00F03D5D"/>
    <w:rsid w:val="00F03F8D"/>
    <w:rsid w:val="00F040B1"/>
    <w:rsid w:val="00F048E2"/>
    <w:rsid w:val="00F04A10"/>
    <w:rsid w:val="00F04A21"/>
    <w:rsid w:val="00F04E18"/>
    <w:rsid w:val="00F04E7A"/>
    <w:rsid w:val="00F04E83"/>
    <w:rsid w:val="00F05333"/>
    <w:rsid w:val="00F053C8"/>
    <w:rsid w:val="00F05AEA"/>
    <w:rsid w:val="00F06160"/>
    <w:rsid w:val="00F06428"/>
    <w:rsid w:val="00F064E3"/>
    <w:rsid w:val="00F06FF6"/>
    <w:rsid w:val="00F0720D"/>
    <w:rsid w:val="00F0732B"/>
    <w:rsid w:val="00F07331"/>
    <w:rsid w:val="00F1010F"/>
    <w:rsid w:val="00F111B1"/>
    <w:rsid w:val="00F1130C"/>
    <w:rsid w:val="00F12229"/>
    <w:rsid w:val="00F1243B"/>
    <w:rsid w:val="00F12672"/>
    <w:rsid w:val="00F126A9"/>
    <w:rsid w:val="00F12CB7"/>
    <w:rsid w:val="00F12DC2"/>
    <w:rsid w:val="00F13516"/>
    <w:rsid w:val="00F136E5"/>
    <w:rsid w:val="00F137CD"/>
    <w:rsid w:val="00F14A18"/>
    <w:rsid w:val="00F157F0"/>
    <w:rsid w:val="00F15CA3"/>
    <w:rsid w:val="00F16711"/>
    <w:rsid w:val="00F16B6C"/>
    <w:rsid w:val="00F16E19"/>
    <w:rsid w:val="00F172B3"/>
    <w:rsid w:val="00F17858"/>
    <w:rsid w:val="00F178F0"/>
    <w:rsid w:val="00F20216"/>
    <w:rsid w:val="00F202FE"/>
    <w:rsid w:val="00F20D39"/>
    <w:rsid w:val="00F215C4"/>
    <w:rsid w:val="00F217AE"/>
    <w:rsid w:val="00F218F0"/>
    <w:rsid w:val="00F227D2"/>
    <w:rsid w:val="00F23428"/>
    <w:rsid w:val="00F23915"/>
    <w:rsid w:val="00F2401A"/>
    <w:rsid w:val="00F2486A"/>
    <w:rsid w:val="00F24A4F"/>
    <w:rsid w:val="00F24CAB"/>
    <w:rsid w:val="00F2564C"/>
    <w:rsid w:val="00F258EE"/>
    <w:rsid w:val="00F25A36"/>
    <w:rsid w:val="00F2666B"/>
    <w:rsid w:val="00F268A2"/>
    <w:rsid w:val="00F27109"/>
    <w:rsid w:val="00F2751E"/>
    <w:rsid w:val="00F27A38"/>
    <w:rsid w:val="00F300DE"/>
    <w:rsid w:val="00F3057C"/>
    <w:rsid w:val="00F3062D"/>
    <w:rsid w:val="00F3078C"/>
    <w:rsid w:val="00F30EBC"/>
    <w:rsid w:val="00F313AB"/>
    <w:rsid w:val="00F3153D"/>
    <w:rsid w:val="00F3161A"/>
    <w:rsid w:val="00F31753"/>
    <w:rsid w:val="00F32288"/>
    <w:rsid w:val="00F32619"/>
    <w:rsid w:val="00F32855"/>
    <w:rsid w:val="00F32FA6"/>
    <w:rsid w:val="00F331C1"/>
    <w:rsid w:val="00F33A8E"/>
    <w:rsid w:val="00F355D8"/>
    <w:rsid w:val="00F36048"/>
    <w:rsid w:val="00F3697A"/>
    <w:rsid w:val="00F36BD0"/>
    <w:rsid w:val="00F36DA7"/>
    <w:rsid w:val="00F37018"/>
    <w:rsid w:val="00F37240"/>
    <w:rsid w:val="00F372E8"/>
    <w:rsid w:val="00F3777E"/>
    <w:rsid w:val="00F37BBF"/>
    <w:rsid w:val="00F40180"/>
    <w:rsid w:val="00F411ED"/>
    <w:rsid w:val="00F41222"/>
    <w:rsid w:val="00F41A50"/>
    <w:rsid w:val="00F41DA5"/>
    <w:rsid w:val="00F42AC7"/>
    <w:rsid w:val="00F42B67"/>
    <w:rsid w:val="00F43B30"/>
    <w:rsid w:val="00F45A39"/>
    <w:rsid w:val="00F45C96"/>
    <w:rsid w:val="00F4609C"/>
    <w:rsid w:val="00F46AD0"/>
    <w:rsid w:val="00F47177"/>
    <w:rsid w:val="00F47D59"/>
    <w:rsid w:val="00F500F5"/>
    <w:rsid w:val="00F5051D"/>
    <w:rsid w:val="00F50CBD"/>
    <w:rsid w:val="00F50D6F"/>
    <w:rsid w:val="00F50F7D"/>
    <w:rsid w:val="00F52A02"/>
    <w:rsid w:val="00F52CAB"/>
    <w:rsid w:val="00F52E0F"/>
    <w:rsid w:val="00F5329F"/>
    <w:rsid w:val="00F5338F"/>
    <w:rsid w:val="00F5349C"/>
    <w:rsid w:val="00F53957"/>
    <w:rsid w:val="00F53B52"/>
    <w:rsid w:val="00F5441A"/>
    <w:rsid w:val="00F54C43"/>
    <w:rsid w:val="00F54F25"/>
    <w:rsid w:val="00F55365"/>
    <w:rsid w:val="00F557D2"/>
    <w:rsid w:val="00F565A4"/>
    <w:rsid w:val="00F567C4"/>
    <w:rsid w:val="00F56B4A"/>
    <w:rsid w:val="00F57318"/>
    <w:rsid w:val="00F5780C"/>
    <w:rsid w:val="00F57A08"/>
    <w:rsid w:val="00F57F1A"/>
    <w:rsid w:val="00F57FD9"/>
    <w:rsid w:val="00F615A8"/>
    <w:rsid w:val="00F61AF5"/>
    <w:rsid w:val="00F61C0B"/>
    <w:rsid w:val="00F620CE"/>
    <w:rsid w:val="00F62962"/>
    <w:rsid w:val="00F63300"/>
    <w:rsid w:val="00F63329"/>
    <w:rsid w:val="00F63437"/>
    <w:rsid w:val="00F63544"/>
    <w:rsid w:val="00F638CB"/>
    <w:rsid w:val="00F6475B"/>
    <w:rsid w:val="00F649D2"/>
    <w:rsid w:val="00F64BAD"/>
    <w:rsid w:val="00F65470"/>
    <w:rsid w:val="00F6559C"/>
    <w:rsid w:val="00F65CD2"/>
    <w:rsid w:val="00F6611B"/>
    <w:rsid w:val="00F6756D"/>
    <w:rsid w:val="00F67AAC"/>
    <w:rsid w:val="00F67B49"/>
    <w:rsid w:val="00F67BFC"/>
    <w:rsid w:val="00F70CC7"/>
    <w:rsid w:val="00F710FC"/>
    <w:rsid w:val="00F7158D"/>
    <w:rsid w:val="00F7199C"/>
    <w:rsid w:val="00F71AF6"/>
    <w:rsid w:val="00F71C95"/>
    <w:rsid w:val="00F72258"/>
    <w:rsid w:val="00F72AE9"/>
    <w:rsid w:val="00F7301A"/>
    <w:rsid w:val="00F73033"/>
    <w:rsid w:val="00F7474E"/>
    <w:rsid w:val="00F749AC"/>
    <w:rsid w:val="00F74F19"/>
    <w:rsid w:val="00F751E7"/>
    <w:rsid w:val="00F75360"/>
    <w:rsid w:val="00F75DF7"/>
    <w:rsid w:val="00F76129"/>
    <w:rsid w:val="00F76E3D"/>
    <w:rsid w:val="00F77199"/>
    <w:rsid w:val="00F775C1"/>
    <w:rsid w:val="00F777C4"/>
    <w:rsid w:val="00F778AE"/>
    <w:rsid w:val="00F77F0D"/>
    <w:rsid w:val="00F806DE"/>
    <w:rsid w:val="00F80DFE"/>
    <w:rsid w:val="00F813E7"/>
    <w:rsid w:val="00F8141B"/>
    <w:rsid w:val="00F81C23"/>
    <w:rsid w:val="00F81FBF"/>
    <w:rsid w:val="00F8220E"/>
    <w:rsid w:val="00F82351"/>
    <w:rsid w:val="00F8254A"/>
    <w:rsid w:val="00F82D70"/>
    <w:rsid w:val="00F82E63"/>
    <w:rsid w:val="00F8303F"/>
    <w:rsid w:val="00F8327B"/>
    <w:rsid w:val="00F832EA"/>
    <w:rsid w:val="00F839F3"/>
    <w:rsid w:val="00F84902"/>
    <w:rsid w:val="00F84AF5"/>
    <w:rsid w:val="00F85933"/>
    <w:rsid w:val="00F85B7D"/>
    <w:rsid w:val="00F85D29"/>
    <w:rsid w:val="00F85F7F"/>
    <w:rsid w:val="00F865DE"/>
    <w:rsid w:val="00F869DD"/>
    <w:rsid w:val="00F86E95"/>
    <w:rsid w:val="00F871EF"/>
    <w:rsid w:val="00F876EC"/>
    <w:rsid w:val="00F878D6"/>
    <w:rsid w:val="00F87CE0"/>
    <w:rsid w:val="00F901D1"/>
    <w:rsid w:val="00F90449"/>
    <w:rsid w:val="00F905A3"/>
    <w:rsid w:val="00F90C02"/>
    <w:rsid w:val="00F90F6B"/>
    <w:rsid w:val="00F91184"/>
    <w:rsid w:val="00F91F8D"/>
    <w:rsid w:val="00F92277"/>
    <w:rsid w:val="00F928D8"/>
    <w:rsid w:val="00F9296D"/>
    <w:rsid w:val="00F92CEA"/>
    <w:rsid w:val="00F93359"/>
    <w:rsid w:val="00F93665"/>
    <w:rsid w:val="00F93CF0"/>
    <w:rsid w:val="00F94742"/>
    <w:rsid w:val="00F94FB5"/>
    <w:rsid w:val="00F95A77"/>
    <w:rsid w:val="00F95C5E"/>
    <w:rsid w:val="00F95D46"/>
    <w:rsid w:val="00F96457"/>
    <w:rsid w:val="00F96AB9"/>
    <w:rsid w:val="00F96D7C"/>
    <w:rsid w:val="00F974A7"/>
    <w:rsid w:val="00F978DC"/>
    <w:rsid w:val="00F979D0"/>
    <w:rsid w:val="00FA0BFF"/>
    <w:rsid w:val="00FA12F7"/>
    <w:rsid w:val="00FA2145"/>
    <w:rsid w:val="00FA26D2"/>
    <w:rsid w:val="00FA294F"/>
    <w:rsid w:val="00FA2E2E"/>
    <w:rsid w:val="00FA3BB5"/>
    <w:rsid w:val="00FA3CA9"/>
    <w:rsid w:val="00FA3DF9"/>
    <w:rsid w:val="00FA4005"/>
    <w:rsid w:val="00FA4CEA"/>
    <w:rsid w:val="00FA53FC"/>
    <w:rsid w:val="00FA5AB7"/>
    <w:rsid w:val="00FA5FBE"/>
    <w:rsid w:val="00FA6AA0"/>
    <w:rsid w:val="00FA7D2E"/>
    <w:rsid w:val="00FB030B"/>
    <w:rsid w:val="00FB09CA"/>
    <w:rsid w:val="00FB11F8"/>
    <w:rsid w:val="00FB136C"/>
    <w:rsid w:val="00FB16F0"/>
    <w:rsid w:val="00FB1F44"/>
    <w:rsid w:val="00FB2C96"/>
    <w:rsid w:val="00FB36A4"/>
    <w:rsid w:val="00FB37FB"/>
    <w:rsid w:val="00FB3C17"/>
    <w:rsid w:val="00FB3DBA"/>
    <w:rsid w:val="00FB4007"/>
    <w:rsid w:val="00FB402F"/>
    <w:rsid w:val="00FB579E"/>
    <w:rsid w:val="00FB5B7B"/>
    <w:rsid w:val="00FB5BB5"/>
    <w:rsid w:val="00FB5D88"/>
    <w:rsid w:val="00FB5FD4"/>
    <w:rsid w:val="00FB604A"/>
    <w:rsid w:val="00FB62BC"/>
    <w:rsid w:val="00FB6440"/>
    <w:rsid w:val="00FB647C"/>
    <w:rsid w:val="00FC052F"/>
    <w:rsid w:val="00FC079F"/>
    <w:rsid w:val="00FC0DA5"/>
    <w:rsid w:val="00FC2025"/>
    <w:rsid w:val="00FC21C8"/>
    <w:rsid w:val="00FC232D"/>
    <w:rsid w:val="00FC2BAF"/>
    <w:rsid w:val="00FC2C9F"/>
    <w:rsid w:val="00FC310C"/>
    <w:rsid w:val="00FC34ED"/>
    <w:rsid w:val="00FC35AD"/>
    <w:rsid w:val="00FC44C4"/>
    <w:rsid w:val="00FC45CF"/>
    <w:rsid w:val="00FC493C"/>
    <w:rsid w:val="00FC5A25"/>
    <w:rsid w:val="00FC5EC2"/>
    <w:rsid w:val="00FC6577"/>
    <w:rsid w:val="00FC65CC"/>
    <w:rsid w:val="00FC6818"/>
    <w:rsid w:val="00FC75D8"/>
    <w:rsid w:val="00FC7AAE"/>
    <w:rsid w:val="00FC7FC0"/>
    <w:rsid w:val="00FD071F"/>
    <w:rsid w:val="00FD07FE"/>
    <w:rsid w:val="00FD0A5E"/>
    <w:rsid w:val="00FD0B52"/>
    <w:rsid w:val="00FD1FBD"/>
    <w:rsid w:val="00FD20D7"/>
    <w:rsid w:val="00FD2172"/>
    <w:rsid w:val="00FD2C01"/>
    <w:rsid w:val="00FD343B"/>
    <w:rsid w:val="00FD3A95"/>
    <w:rsid w:val="00FD3E6E"/>
    <w:rsid w:val="00FD4E52"/>
    <w:rsid w:val="00FD56AE"/>
    <w:rsid w:val="00FD56FF"/>
    <w:rsid w:val="00FD58BA"/>
    <w:rsid w:val="00FD5AB7"/>
    <w:rsid w:val="00FD5C6F"/>
    <w:rsid w:val="00FD5D0E"/>
    <w:rsid w:val="00FD62B0"/>
    <w:rsid w:val="00FD639D"/>
    <w:rsid w:val="00FD663E"/>
    <w:rsid w:val="00FD67D0"/>
    <w:rsid w:val="00FD771B"/>
    <w:rsid w:val="00FD7854"/>
    <w:rsid w:val="00FD7DF1"/>
    <w:rsid w:val="00FE00B8"/>
    <w:rsid w:val="00FE0329"/>
    <w:rsid w:val="00FE0C79"/>
    <w:rsid w:val="00FE177F"/>
    <w:rsid w:val="00FE315B"/>
    <w:rsid w:val="00FE36E3"/>
    <w:rsid w:val="00FE3724"/>
    <w:rsid w:val="00FE377F"/>
    <w:rsid w:val="00FE3993"/>
    <w:rsid w:val="00FE4097"/>
    <w:rsid w:val="00FE4481"/>
    <w:rsid w:val="00FE49EA"/>
    <w:rsid w:val="00FE4AAF"/>
    <w:rsid w:val="00FE4F1C"/>
    <w:rsid w:val="00FE5658"/>
    <w:rsid w:val="00FE62CA"/>
    <w:rsid w:val="00FE63F6"/>
    <w:rsid w:val="00FE65EC"/>
    <w:rsid w:val="00FE7313"/>
    <w:rsid w:val="00FE7692"/>
    <w:rsid w:val="00FE7C0C"/>
    <w:rsid w:val="00FF024A"/>
    <w:rsid w:val="00FF037A"/>
    <w:rsid w:val="00FF0EAB"/>
    <w:rsid w:val="00FF1452"/>
    <w:rsid w:val="00FF1C9B"/>
    <w:rsid w:val="00FF21E7"/>
    <w:rsid w:val="00FF28F8"/>
    <w:rsid w:val="00FF2C46"/>
    <w:rsid w:val="00FF2F86"/>
    <w:rsid w:val="00FF33E2"/>
    <w:rsid w:val="00FF3B1A"/>
    <w:rsid w:val="00FF4110"/>
    <w:rsid w:val="00FF50D7"/>
    <w:rsid w:val="00FF58F0"/>
    <w:rsid w:val="00FF59AA"/>
    <w:rsid w:val="00FF638F"/>
    <w:rsid w:val="00FF6533"/>
    <w:rsid w:val="00FF6693"/>
    <w:rsid w:val="00FF6DDC"/>
    <w:rsid w:val="00FF7076"/>
    <w:rsid w:val="00FF759E"/>
    <w:rsid w:val="00FF7876"/>
    <w:rsid w:val="00FF7A72"/>
    <w:rsid w:val="00FF7D6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Heading1">
    <w:name w:val="heading 1"/>
    <w:basedOn w:val="Normal"/>
    <w:next w:val="Normal"/>
    <w:link w:val="Heading1Char"/>
    <w:uiPriority w:val="99"/>
    <w:qFormat/>
    <w:rsid w:val="00F0217B"/>
    <w:p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ind w:left="360"/>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ind w:left="720" w:hanging="720"/>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ind w:left="720"/>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ind w:left="720"/>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ind w:left="720"/>
      <w:outlineLvl w:val="6"/>
    </w:pPr>
    <w:rPr>
      <w:rFonts w:ascii="Calibri" w:hAnsi="Calibri"/>
    </w:rPr>
  </w:style>
  <w:style w:type="paragraph" w:styleId="Heading8">
    <w:name w:val="heading 8"/>
    <w:basedOn w:val="Normal"/>
    <w:next w:val="NormalIndent"/>
    <w:link w:val="Heading8Char"/>
    <w:uiPriority w:val="99"/>
    <w:qFormat/>
    <w:rsid w:val="00F0217B"/>
    <w:pPr>
      <w:ind w:left="720"/>
      <w:outlineLvl w:val="7"/>
    </w:pPr>
    <w:rPr>
      <w:rFonts w:ascii="Calibri" w:hAnsi="Calibri"/>
      <w:i/>
      <w:iCs/>
    </w:rPr>
  </w:style>
  <w:style w:type="paragraph" w:styleId="Heading9">
    <w:name w:val="heading 9"/>
    <w:basedOn w:val="Normal"/>
    <w:next w:val="Normal"/>
    <w:link w:val="Heading9Char"/>
    <w:uiPriority w:val="99"/>
    <w:qFormat/>
    <w:rsid w:val="00F0217B"/>
    <w:pPr>
      <w:keepNext/>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semiHidden/>
    <w:locked/>
    <w:rsid w:val="00A003F4"/>
    <w:rPr>
      <w:rFonts w:ascii="Cambria" w:hAnsi="Cambria" w:cs="Cambria"/>
      <w:b/>
      <w:bCs/>
      <w:i/>
      <w:iCs/>
      <w:sz w:val="28"/>
      <w:szCs w:val="28"/>
    </w:rPr>
  </w:style>
  <w:style w:type="character" w:customStyle="1" w:styleId="Heading3Char">
    <w:name w:val="Heading 3 Char"/>
    <w:link w:val="Heading3"/>
    <w:uiPriority w:val="99"/>
    <w:semiHidden/>
    <w:locked/>
    <w:rsid w:val="00A003F4"/>
    <w:rPr>
      <w:rFonts w:ascii="Cambria" w:hAnsi="Cambria" w:cs="Cambria"/>
      <w:b/>
      <w:bCs/>
      <w:sz w:val="26"/>
      <w:szCs w:val="26"/>
    </w:rPr>
  </w:style>
  <w:style w:type="character" w:customStyle="1" w:styleId="Heading4Char">
    <w:name w:val="Heading 4 Char"/>
    <w:link w:val="Heading4"/>
    <w:uiPriority w:val="99"/>
    <w:semiHidden/>
    <w:locked/>
    <w:rsid w:val="00A003F4"/>
    <w:rPr>
      <w:rFonts w:ascii="Calibri" w:hAnsi="Calibri" w:cs="Calibri"/>
      <w:b/>
      <w:bCs/>
      <w:sz w:val="28"/>
      <w:szCs w:val="28"/>
    </w:rPr>
  </w:style>
  <w:style w:type="character" w:customStyle="1" w:styleId="Heading5Char">
    <w:name w:val="Heading 5 Char"/>
    <w:link w:val="Heading5"/>
    <w:uiPriority w:val="99"/>
    <w:semiHidden/>
    <w:locked/>
    <w:rsid w:val="00A003F4"/>
    <w:rPr>
      <w:rFonts w:ascii="Calibri" w:hAnsi="Calibri" w:cs="Calibri"/>
      <w:b/>
      <w:bCs/>
      <w:i/>
      <w:iCs/>
      <w:sz w:val="26"/>
      <w:szCs w:val="26"/>
    </w:rPr>
  </w:style>
  <w:style w:type="character" w:customStyle="1" w:styleId="Heading6Char">
    <w:name w:val="Heading 6 Char"/>
    <w:link w:val="Heading6"/>
    <w:uiPriority w:val="99"/>
    <w:semiHidden/>
    <w:locked/>
    <w:rsid w:val="00A003F4"/>
    <w:rPr>
      <w:rFonts w:ascii="Calibri" w:hAnsi="Calibri" w:cs="Calibri"/>
      <w:b/>
      <w:bCs/>
    </w:rPr>
  </w:style>
  <w:style w:type="character" w:customStyle="1" w:styleId="Heading7Char">
    <w:name w:val="Heading 7 Char"/>
    <w:link w:val="Heading7"/>
    <w:uiPriority w:val="99"/>
    <w:semiHidden/>
    <w:locked/>
    <w:rsid w:val="00A003F4"/>
    <w:rPr>
      <w:rFonts w:ascii="Calibri" w:hAnsi="Calibri" w:cs="Calibri"/>
      <w:sz w:val="24"/>
      <w:szCs w:val="24"/>
    </w:rPr>
  </w:style>
  <w:style w:type="character" w:customStyle="1" w:styleId="Heading8Char">
    <w:name w:val="Heading 8 Char"/>
    <w:link w:val="Heading8"/>
    <w:uiPriority w:val="99"/>
    <w:semiHidden/>
    <w:locked/>
    <w:rsid w:val="00A003F4"/>
    <w:rPr>
      <w:rFonts w:ascii="Calibri" w:hAnsi="Calibri" w:cs="Calibri"/>
      <w:i/>
      <w:iCs/>
      <w:sz w:val="24"/>
      <w:szCs w:val="24"/>
    </w:rPr>
  </w:style>
  <w:style w:type="character" w:customStyle="1" w:styleId="Heading9Char">
    <w:name w:val="Heading 9 Char"/>
    <w:link w:val="Heading9"/>
    <w:uiPriority w:val="99"/>
    <w:semiHidden/>
    <w:locked/>
    <w:rsid w:val="00A003F4"/>
    <w:rPr>
      <w:rFonts w:ascii="Cambria" w:hAnsi="Cambria" w:cs="Cambria"/>
    </w:rPr>
  </w:style>
  <w:style w:type="paragraph" w:styleId="CommentText">
    <w:name w:val="annotation text"/>
    <w:basedOn w:val="Normal"/>
    <w:link w:val="CommentTextChar"/>
    <w:uiPriority w:val="99"/>
    <w:semiHidden/>
    <w:rsid w:val="00F0217B"/>
    <w:rPr>
      <w:sz w:val="20"/>
      <w:szCs w:val="20"/>
    </w:rPr>
  </w:style>
  <w:style w:type="character" w:customStyle="1" w:styleId="CommentTextChar">
    <w:name w:val="Comment Text Char"/>
    <w:link w:val="CommentText"/>
    <w:uiPriority w:val="99"/>
    <w:semiHidden/>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semiHidden/>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semiHidden/>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semiHidden/>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semiHidden/>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semiHidden/>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9077BF"/>
    <w:rPr>
      <w:sz w:val="2"/>
      <w:szCs w:val="2"/>
    </w:rPr>
  </w:style>
  <w:style w:type="character" w:customStyle="1" w:styleId="BalloonTextChar">
    <w:name w:val="Balloon Text Char"/>
    <w:link w:val="BalloonText"/>
    <w:uiPriority w:val="99"/>
    <w:semiHidden/>
    <w:locked/>
    <w:rsid w:val="00A003F4"/>
    <w:rPr>
      <w:rFonts w:ascii="Times New Roman" w:hAnsi="Times New Roman" w:cs="Times New Roman"/>
      <w:sz w:val="2"/>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semiHidden/>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Balk1">
    <w:name w:val="heading 1"/>
    <w:basedOn w:val="Normal"/>
    <w:next w:val="Normal"/>
    <w:link w:val="Balk1Char"/>
    <w:uiPriority w:val="99"/>
    <w:qFormat/>
    <w:rsid w:val="00F0217B"/>
    <w:pPr>
      <w:spacing w:before="240"/>
      <w:outlineLvl w:val="0"/>
    </w:pPr>
    <w:rPr>
      <w:rFonts w:ascii="Cambria" w:hAnsi="Cambria"/>
      <w:b/>
      <w:bCs/>
      <w:kern w:val="32"/>
      <w:sz w:val="32"/>
      <w:szCs w:val="32"/>
    </w:rPr>
  </w:style>
  <w:style w:type="paragraph" w:styleId="Balk2">
    <w:name w:val="heading 2"/>
    <w:basedOn w:val="Normal"/>
    <w:next w:val="Normal"/>
    <w:link w:val="Balk2Char"/>
    <w:uiPriority w:val="99"/>
    <w:qFormat/>
    <w:rsid w:val="00F0217B"/>
    <w:pPr>
      <w:spacing w:before="120"/>
      <w:outlineLvl w:val="1"/>
    </w:pPr>
    <w:rPr>
      <w:rFonts w:ascii="Cambria" w:hAnsi="Cambria"/>
      <w:b/>
      <w:bCs/>
      <w:i/>
      <w:iCs/>
      <w:sz w:val="28"/>
      <w:szCs w:val="28"/>
    </w:rPr>
  </w:style>
  <w:style w:type="paragraph" w:styleId="Balk3">
    <w:name w:val="heading 3"/>
    <w:basedOn w:val="Normal"/>
    <w:next w:val="NormalGirinti"/>
    <w:link w:val="Balk3Char"/>
    <w:uiPriority w:val="99"/>
    <w:qFormat/>
    <w:rsid w:val="00F0217B"/>
    <w:pPr>
      <w:ind w:left="360"/>
      <w:outlineLvl w:val="2"/>
    </w:pPr>
    <w:rPr>
      <w:rFonts w:ascii="Cambria" w:hAnsi="Cambria"/>
      <w:b/>
      <w:bCs/>
      <w:sz w:val="26"/>
      <w:szCs w:val="26"/>
    </w:rPr>
  </w:style>
  <w:style w:type="paragraph" w:styleId="Balk4">
    <w:name w:val="heading 4"/>
    <w:basedOn w:val="Normal"/>
    <w:next w:val="Normal"/>
    <w:link w:val="Balk4Char"/>
    <w:uiPriority w:val="99"/>
    <w:qFormat/>
    <w:rsid w:val="00F0217B"/>
    <w:pPr>
      <w:keepNext/>
      <w:ind w:left="720" w:hanging="720"/>
      <w:jc w:val="both"/>
      <w:outlineLvl w:val="3"/>
    </w:pPr>
    <w:rPr>
      <w:rFonts w:ascii="Calibri" w:hAnsi="Calibri"/>
      <w:b/>
      <w:bCs/>
      <w:sz w:val="28"/>
      <w:szCs w:val="28"/>
    </w:rPr>
  </w:style>
  <w:style w:type="paragraph" w:styleId="Balk5">
    <w:name w:val="heading 5"/>
    <w:basedOn w:val="Normal"/>
    <w:next w:val="NormalGirinti"/>
    <w:link w:val="Balk5Char"/>
    <w:uiPriority w:val="99"/>
    <w:qFormat/>
    <w:rsid w:val="00F0217B"/>
    <w:pPr>
      <w:ind w:left="720"/>
      <w:outlineLvl w:val="4"/>
    </w:pPr>
    <w:rPr>
      <w:rFonts w:ascii="Calibri" w:hAnsi="Calibri"/>
      <w:b/>
      <w:bCs/>
      <w:i/>
      <w:iCs/>
      <w:sz w:val="26"/>
      <w:szCs w:val="26"/>
    </w:rPr>
  </w:style>
  <w:style w:type="paragraph" w:styleId="Balk6">
    <w:name w:val="heading 6"/>
    <w:basedOn w:val="Normal"/>
    <w:next w:val="NormalGirinti"/>
    <w:link w:val="Balk6Char"/>
    <w:uiPriority w:val="99"/>
    <w:qFormat/>
    <w:rsid w:val="00F0217B"/>
    <w:pPr>
      <w:ind w:left="720"/>
      <w:outlineLvl w:val="5"/>
    </w:pPr>
    <w:rPr>
      <w:rFonts w:ascii="Calibri" w:hAnsi="Calibri"/>
      <w:b/>
      <w:bCs/>
      <w:sz w:val="20"/>
      <w:szCs w:val="20"/>
    </w:rPr>
  </w:style>
  <w:style w:type="paragraph" w:styleId="Balk7">
    <w:name w:val="heading 7"/>
    <w:basedOn w:val="Normal"/>
    <w:next w:val="NormalGirinti"/>
    <w:link w:val="Balk7Char"/>
    <w:uiPriority w:val="99"/>
    <w:qFormat/>
    <w:rsid w:val="00F0217B"/>
    <w:pPr>
      <w:ind w:left="720"/>
      <w:outlineLvl w:val="6"/>
    </w:pPr>
    <w:rPr>
      <w:rFonts w:ascii="Calibri" w:hAnsi="Calibri"/>
    </w:rPr>
  </w:style>
  <w:style w:type="paragraph" w:styleId="Balk8">
    <w:name w:val="heading 8"/>
    <w:basedOn w:val="Normal"/>
    <w:next w:val="NormalGirinti"/>
    <w:link w:val="Balk8Char"/>
    <w:uiPriority w:val="99"/>
    <w:qFormat/>
    <w:rsid w:val="00F0217B"/>
    <w:pPr>
      <w:ind w:left="720"/>
      <w:outlineLvl w:val="7"/>
    </w:pPr>
    <w:rPr>
      <w:rFonts w:ascii="Calibri" w:hAnsi="Calibri"/>
      <w:i/>
      <w:iCs/>
    </w:rPr>
  </w:style>
  <w:style w:type="paragraph" w:styleId="Balk9">
    <w:name w:val="heading 9"/>
    <w:basedOn w:val="Normal"/>
    <w:next w:val="Normal"/>
    <w:link w:val="Balk9Char"/>
    <w:uiPriority w:val="99"/>
    <w:qFormat/>
    <w:rsid w:val="00F0217B"/>
    <w:pPr>
      <w:keepNext/>
      <w:outlineLvl w:val="8"/>
    </w:pPr>
    <w:rPr>
      <w:rFonts w:ascii="Cambria" w:hAnsi="Cambria"/>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A003F4"/>
    <w:rPr>
      <w:rFonts w:ascii="Cambria" w:hAnsi="Cambria" w:cs="Cambria"/>
      <w:b/>
      <w:bCs/>
      <w:kern w:val="32"/>
      <w:sz w:val="32"/>
      <w:szCs w:val="32"/>
    </w:rPr>
  </w:style>
  <w:style w:type="character" w:customStyle="1" w:styleId="Balk2Char">
    <w:name w:val="Başlık 2 Char"/>
    <w:link w:val="Balk2"/>
    <w:uiPriority w:val="99"/>
    <w:semiHidden/>
    <w:locked/>
    <w:rsid w:val="00A003F4"/>
    <w:rPr>
      <w:rFonts w:ascii="Cambria" w:hAnsi="Cambria" w:cs="Cambria"/>
      <w:b/>
      <w:bCs/>
      <w:i/>
      <w:iCs/>
      <w:sz w:val="28"/>
      <w:szCs w:val="28"/>
    </w:rPr>
  </w:style>
  <w:style w:type="character" w:customStyle="1" w:styleId="Balk3Char">
    <w:name w:val="Başlık 3 Char"/>
    <w:link w:val="Balk3"/>
    <w:uiPriority w:val="99"/>
    <w:semiHidden/>
    <w:locked/>
    <w:rsid w:val="00A003F4"/>
    <w:rPr>
      <w:rFonts w:ascii="Cambria" w:hAnsi="Cambria" w:cs="Cambria"/>
      <w:b/>
      <w:bCs/>
      <w:sz w:val="26"/>
      <w:szCs w:val="26"/>
    </w:rPr>
  </w:style>
  <w:style w:type="character" w:customStyle="1" w:styleId="Balk4Char">
    <w:name w:val="Başlık 4 Char"/>
    <w:link w:val="Balk4"/>
    <w:uiPriority w:val="99"/>
    <w:semiHidden/>
    <w:locked/>
    <w:rsid w:val="00A003F4"/>
    <w:rPr>
      <w:rFonts w:ascii="Calibri" w:hAnsi="Calibri" w:cs="Calibri"/>
      <w:b/>
      <w:bCs/>
      <w:sz w:val="28"/>
      <w:szCs w:val="28"/>
    </w:rPr>
  </w:style>
  <w:style w:type="character" w:customStyle="1" w:styleId="Balk5Char">
    <w:name w:val="Başlık 5 Char"/>
    <w:link w:val="Balk5"/>
    <w:uiPriority w:val="99"/>
    <w:semiHidden/>
    <w:locked/>
    <w:rsid w:val="00A003F4"/>
    <w:rPr>
      <w:rFonts w:ascii="Calibri" w:hAnsi="Calibri" w:cs="Calibri"/>
      <w:b/>
      <w:bCs/>
      <w:i/>
      <w:iCs/>
      <w:sz w:val="26"/>
      <w:szCs w:val="26"/>
    </w:rPr>
  </w:style>
  <w:style w:type="character" w:customStyle="1" w:styleId="Balk6Char">
    <w:name w:val="Başlık 6 Char"/>
    <w:link w:val="Balk6"/>
    <w:uiPriority w:val="99"/>
    <w:semiHidden/>
    <w:locked/>
    <w:rsid w:val="00A003F4"/>
    <w:rPr>
      <w:rFonts w:ascii="Calibri" w:hAnsi="Calibri" w:cs="Calibri"/>
      <w:b/>
      <w:bCs/>
    </w:rPr>
  </w:style>
  <w:style w:type="character" w:customStyle="1" w:styleId="Balk7Char">
    <w:name w:val="Başlık 7 Char"/>
    <w:link w:val="Balk7"/>
    <w:uiPriority w:val="99"/>
    <w:semiHidden/>
    <w:locked/>
    <w:rsid w:val="00A003F4"/>
    <w:rPr>
      <w:rFonts w:ascii="Calibri" w:hAnsi="Calibri" w:cs="Calibri"/>
      <w:sz w:val="24"/>
      <w:szCs w:val="24"/>
    </w:rPr>
  </w:style>
  <w:style w:type="character" w:customStyle="1" w:styleId="Balk8Char">
    <w:name w:val="Başlık 8 Char"/>
    <w:link w:val="Balk8"/>
    <w:uiPriority w:val="99"/>
    <w:semiHidden/>
    <w:locked/>
    <w:rsid w:val="00A003F4"/>
    <w:rPr>
      <w:rFonts w:ascii="Calibri" w:hAnsi="Calibri" w:cs="Calibri"/>
      <w:i/>
      <w:iCs/>
      <w:sz w:val="24"/>
      <w:szCs w:val="24"/>
    </w:rPr>
  </w:style>
  <w:style w:type="character" w:customStyle="1" w:styleId="Balk9Char">
    <w:name w:val="Başlık 9 Char"/>
    <w:link w:val="Balk9"/>
    <w:uiPriority w:val="99"/>
    <w:semiHidden/>
    <w:locked/>
    <w:rsid w:val="00A003F4"/>
    <w:rPr>
      <w:rFonts w:ascii="Cambria" w:hAnsi="Cambria" w:cs="Cambria"/>
    </w:rPr>
  </w:style>
  <w:style w:type="paragraph" w:styleId="AklamaMetni">
    <w:name w:val="annotation text"/>
    <w:basedOn w:val="Normal"/>
    <w:link w:val="AklamaMetniChar"/>
    <w:uiPriority w:val="99"/>
    <w:semiHidden/>
    <w:rsid w:val="00F0217B"/>
    <w:rPr>
      <w:sz w:val="20"/>
      <w:szCs w:val="20"/>
    </w:rPr>
  </w:style>
  <w:style w:type="character" w:customStyle="1" w:styleId="AklamaMetniChar">
    <w:name w:val="Açıklama Metni Char"/>
    <w:link w:val="AklamaMetni"/>
    <w:uiPriority w:val="99"/>
    <w:semiHidden/>
    <w:locked/>
    <w:rsid w:val="00A003F4"/>
    <w:rPr>
      <w:rFonts w:ascii="Times New Roman" w:hAnsi="Times New Roman" w:cs="Times New Roman"/>
      <w:sz w:val="20"/>
      <w:szCs w:val="20"/>
    </w:rPr>
  </w:style>
  <w:style w:type="paragraph" w:styleId="Altbilgi">
    <w:name w:val="footer"/>
    <w:basedOn w:val="Normal"/>
    <w:link w:val="AltbilgiChar"/>
    <w:uiPriority w:val="99"/>
    <w:rsid w:val="00F0217B"/>
    <w:pPr>
      <w:tabs>
        <w:tab w:val="center" w:pos="4153"/>
        <w:tab w:val="right" w:pos="8306"/>
      </w:tabs>
    </w:pPr>
  </w:style>
  <w:style w:type="character" w:customStyle="1" w:styleId="AltbilgiChar">
    <w:name w:val="Altbilgi Char"/>
    <w:link w:val="Altbilgi"/>
    <w:uiPriority w:val="99"/>
    <w:semiHidden/>
    <w:locked/>
    <w:rsid w:val="00A003F4"/>
    <w:rPr>
      <w:rFonts w:ascii="Times New Roman" w:hAnsi="Times New Roman" w:cs="Times New Roman"/>
      <w:sz w:val="24"/>
      <w:szCs w:val="24"/>
    </w:rPr>
  </w:style>
  <w:style w:type="paragraph" w:styleId="stbilgi">
    <w:name w:val="header"/>
    <w:basedOn w:val="Normal"/>
    <w:link w:val="stbilgiChar"/>
    <w:uiPriority w:val="99"/>
    <w:rsid w:val="00F0217B"/>
    <w:pPr>
      <w:tabs>
        <w:tab w:val="center" w:pos="4153"/>
        <w:tab w:val="right" w:pos="8306"/>
      </w:tabs>
    </w:pPr>
  </w:style>
  <w:style w:type="character" w:customStyle="1" w:styleId="stbilgiChar">
    <w:name w:val="Üstbilgi Char"/>
    <w:link w:val="stbilgi"/>
    <w:uiPriority w:val="99"/>
    <w:locked/>
    <w:rsid w:val="00A003F4"/>
    <w:rPr>
      <w:rFonts w:ascii="Times New Roman" w:hAnsi="Times New Roman" w:cs="Times New Roman"/>
      <w:sz w:val="24"/>
      <w:szCs w:val="24"/>
    </w:rPr>
  </w:style>
  <w:style w:type="paragraph" w:styleId="DipnotMetni">
    <w:name w:val="footnote text"/>
    <w:basedOn w:val="Normal"/>
    <w:link w:val="DipnotMetniChar"/>
    <w:uiPriority w:val="99"/>
    <w:semiHidden/>
    <w:rsid w:val="00F0217B"/>
    <w:rPr>
      <w:sz w:val="20"/>
      <w:szCs w:val="20"/>
    </w:rPr>
  </w:style>
  <w:style w:type="character" w:customStyle="1" w:styleId="DipnotMetniChar">
    <w:name w:val="Dipnot Metni Char"/>
    <w:link w:val="DipnotMetni"/>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GvdeMetniGirintisi">
    <w:name w:val="Body Text Indent"/>
    <w:basedOn w:val="Normal"/>
    <w:link w:val="GvdeMetniGirintisiChar"/>
    <w:uiPriority w:val="99"/>
    <w:rsid w:val="00F0217B"/>
    <w:pPr>
      <w:ind w:firstLine="720"/>
      <w:jc w:val="both"/>
    </w:pPr>
  </w:style>
  <w:style w:type="character" w:customStyle="1" w:styleId="GvdeMetniGirintisiChar">
    <w:name w:val="Gövde Metni Girintisi Char"/>
    <w:link w:val="GvdeMetniGirintisi"/>
    <w:uiPriority w:val="99"/>
    <w:semiHidden/>
    <w:locked/>
    <w:rsid w:val="00A003F4"/>
    <w:rPr>
      <w:rFonts w:ascii="Times New Roman" w:hAnsi="Times New Roman" w:cs="Times New Roman"/>
      <w:sz w:val="24"/>
      <w:szCs w:val="24"/>
    </w:rPr>
  </w:style>
  <w:style w:type="paragraph" w:styleId="GvdeMetni">
    <w:name w:val="Body Text"/>
    <w:basedOn w:val="Normal"/>
    <w:link w:val="GvdeMetniChar"/>
    <w:uiPriority w:val="99"/>
    <w:rsid w:val="00F0217B"/>
    <w:pPr>
      <w:tabs>
        <w:tab w:val="left" w:pos="0"/>
        <w:tab w:val="left" w:pos="567"/>
        <w:tab w:val="left" w:pos="720"/>
      </w:tabs>
      <w:jc w:val="both"/>
    </w:pPr>
  </w:style>
  <w:style w:type="character" w:customStyle="1" w:styleId="GvdeMetniChar">
    <w:name w:val="Gövde Metni Char"/>
    <w:link w:val="GvdeMetni"/>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GvdeMetni2">
    <w:name w:val="Body Text 2"/>
    <w:basedOn w:val="Normal"/>
    <w:link w:val="GvdeMetni2Char"/>
    <w:uiPriority w:val="99"/>
    <w:rsid w:val="00F0217B"/>
    <w:pPr>
      <w:jc w:val="both"/>
    </w:pPr>
  </w:style>
  <w:style w:type="character" w:customStyle="1" w:styleId="GvdeMetni2Char">
    <w:name w:val="Gövde Metni 2 Char"/>
    <w:link w:val="GvdeMetni2"/>
    <w:uiPriority w:val="99"/>
    <w:semiHidden/>
    <w:locked/>
    <w:rsid w:val="00A003F4"/>
    <w:rPr>
      <w:rFonts w:ascii="Times New Roman" w:hAnsi="Times New Roman" w:cs="Times New Roman"/>
      <w:sz w:val="24"/>
      <w:szCs w:val="24"/>
    </w:rPr>
  </w:style>
  <w:style w:type="paragraph" w:styleId="bekMetni">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GvdeMetni3">
    <w:name w:val="Body Text 3"/>
    <w:basedOn w:val="Normal"/>
    <w:link w:val="GvdeMetni3Char"/>
    <w:uiPriority w:val="99"/>
    <w:rsid w:val="00F0217B"/>
    <w:pPr>
      <w:tabs>
        <w:tab w:val="center" w:pos="539"/>
        <w:tab w:val="center" w:pos="5310"/>
        <w:tab w:val="center" w:pos="7560"/>
      </w:tabs>
    </w:pPr>
    <w:rPr>
      <w:sz w:val="16"/>
      <w:szCs w:val="16"/>
    </w:rPr>
  </w:style>
  <w:style w:type="character" w:customStyle="1" w:styleId="GvdeMetni3Char">
    <w:name w:val="Gövde Metni 3 Char"/>
    <w:link w:val="GvdeMetni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Girinti">
    <w:name w:val="Normal Indent"/>
    <w:basedOn w:val="Normal"/>
    <w:uiPriority w:val="99"/>
    <w:rsid w:val="00F0217B"/>
    <w:pPr>
      <w:ind w:left="720"/>
    </w:pPr>
    <w:rPr>
      <w:lang w:val="en-US" w:eastAsia="en-US"/>
    </w:rPr>
  </w:style>
  <w:style w:type="paragraph" w:styleId="SonnotMetni">
    <w:name w:val="endnote text"/>
    <w:basedOn w:val="Normal"/>
    <w:link w:val="SonnotMetniChar"/>
    <w:uiPriority w:val="99"/>
    <w:semiHidden/>
    <w:rsid w:val="00F0217B"/>
    <w:rPr>
      <w:sz w:val="20"/>
      <w:szCs w:val="20"/>
    </w:rPr>
  </w:style>
  <w:style w:type="character" w:customStyle="1" w:styleId="SonnotMetniChar">
    <w:name w:val="Sonnot Metni Char"/>
    <w:link w:val="SonnotMetni"/>
    <w:uiPriority w:val="99"/>
    <w:semiHidden/>
    <w:locked/>
    <w:rsid w:val="00A003F4"/>
    <w:rPr>
      <w:rFonts w:ascii="Times New Roman" w:hAnsi="Times New Roman" w:cs="Times New Roman"/>
      <w:sz w:val="20"/>
      <w:szCs w:val="20"/>
    </w:rPr>
  </w:style>
  <w:style w:type="paragraph" w:styleId="GvdeMetniGirintisi2">
    <w:name w:val="Body Text Indent 2"/>
    <w:basedOn w:val="Normal"/>
    <w:link w:val="GvdeMetniGirintisi2Char"/>
    <w:uiPriority w:val="99"/>
    <w:rsid w:val="00F0217B"/>
    <w:pPr>
      <w:ind w:left="426" w:firstLine="708"/>
      <w:jc w:val="both"/>
    </w:pPr>
  </w:style>
  <w:style w:type="character" w:customStyle="1" w:styleId="GvdeMetniGirintisi2Char">
    <w:name w:val="Gövde Metni Girintisi 2 Char"/>
    <w:link w:val="GvdeMetniGirintisi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GvdeMetniGirintisi3">
    <w:name w:val="Body Text Indent 3"/>
    <w:basedOn w:val="Normal"/>
    <w:link w:val="GvdeMetniGirintisi3Char"/>
    <w:uiPriority w:val="99"/>
    <w:rsid w:val="00F0217B"/>
    <w:pPr>
      <w:spacing w:before="80" w:line="220" w:lineRule="exact"/>
      <w:ind w:firstLine="567"/>
      <w:jc w:val="both"/>
    </w:pPr>
    <w:rPr>
      <w:sz w:val="16"/>
      <w:szCs w:val="16"/>
    </w:rPr>
  </w:style>
  <w:style w:type="character" w:customStyle="1" w:styleId="GvdeMetniGirintisi3Char">
    <w:name w:val="Gövde Metni Girintisi 3 Char"/>
    <w:link w:val="GvdeMetniGirintisi3"/>
    <w:uiPriority w:val="99"/>
    <w:semiHidden/>
    <w:locked/>
    <w:rsid w:val="00A003F4"/>
    <w:rPr>
      <w:rFonts w:ascii="Times New Roman" w:hAnsi="Times New Roman" w:cs="Times New Roman"/>
      <w:sz w:val="16"/>
      <w:szCs w:val="16"/>
    </w:rPr>
  </w:style>
  <w:style w:type="paragraph" w:styleId="DzMetin">
    <w:name w:val="Plain Text"/>
    <w:basedOn w:val="Normal"/>
    <w:link w:val="DzMetinChar"/>
    <w:uiPriority w:val="99"/>
    <w:rsid w:val="00F0217B"/>
    <w:rPr>
      <w:rFonts w:ascii="Courier New" w:hAnsi="Courier New"/>
      <w:sz w:val="20"/>
      <w:szCs w:val="20"/>
    </w:rPr>
  </w:style>
  <w:style w:type="character" w:customStyle="1" w:styleId="DzMetinChar">
    <w:name w:val="Düz Metin Char"/>
    <w:link w:val="DzMetin"/>
    <w:uiPriority w:val="99"/>
    <w:semiHidden/>
    <w:locked/>
    <w:rsid w:val="00A003F4"/>
    <w:rPr>
      <w:rFonts w:ascii="Courier New" w:hAnsi="Courier New" w:cs="Courier New"/>
      <w:sz w:val="20"/>
      <w:szCs w:val="20"/>
    </w:rPr>
  </w:style>
  <w:style w:type="character" w:styleId="Kpr">
    <w:name w:val="Hyperlink"/>
    <w:uiPriority w:val="99"/>
    <w:rsid w:val="00F0217B"/>
    <w:rPr>
      <w:rFonts w:cs="Times New Roman"/>
      <w:color w:val="0000FF"/>
      <w:u w:val="single"/>
    </w:rPr>
  </w:style>
  <w:style w:type="character" w:styleId="zlenenKpr">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Balk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Balk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KonuBal">
    <w:name w:val="Title"/>
    <w:basedOn w:val="Normal"/>
    <w:link w:val="KonuBalChar"/>
    <w:uiPriority w:val="99"/>
    <w:qFormat/>
    <w:rsid w:val="00F0217B"/>
    <w:pPr>
      <w:jc w:val="center"/>
    </w:pPr>
    <w:rPr>
      <w:rFonts w:ascii="Cambria" w:hAnsi="Cambria"/>
      <w:b/>
      <w:bCs/>
      <w:kern w:val="28"/>
      <w:sz w:val="32"/>
      <w:szCs w:val="32"/>
    </w:rPr>
  </w:style>
  <w:style w:type="character" w:customStyle="1" w:styleId="KonuBalChar">
    <w:name w:val="Konu Başlığı Char"/>
    <w:link w:val="KonuBal"/>
    <w:uiPriority w:val="99"/>
    <w:locked/>
    <w:rsid w:val="00A003F4"/>
    <w:rPr>
      <w:rFonts w:ascii="Cambria" w:hAnsi="Cambria" w:cs="Cambria"/>
      <w:b/>
      <w:bCs/>
      <w:kern w:val="28"/>
      <w:sz w:val="32"/>
      <w:szCs w:val="32"/>
    </w:rPr>
  </w:style>
  <w:style w:type="paragraph" w:styleId="ResimYazs">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onMetni">
    <w:name w:val="Balloon Text"/>
    <w:basedOn w:val="Normal"/>
    <w:link w:val="BalonMetniChar"/>
    <w:uiPriority w:val="99"/>
    <w:semiHidden/>
    <w:rsid w:val="009077BF"/>
    <w:rPr>
      <w:sz w:val="2"/>
      <w:szCs w:val="2"/>
    </w:rPr>
  </w:style>
  <w:style w:type="character" w:customStyle="1" w:styleId="BalonMetniChar">
    <w:name w:val="Balon Metni Char"/>
    <w:link w:val="BalonMetni"/>
    <w:uiPriority w:val="99"/>
    <w:semiHidden/>
    <w:locked/>
    <w:rsid w:val="00A003F4"/>
    <w:rPr>
      <w:rFonts w:ascii="Times New Roman" w:hAnsi="Times New Roman" w:cs="Times New Roman"/>
      <w:sz w:val="2"/>
      <w:szCs w:val="2"/>
    </w:rPr>
  </w:style>
  <w:style w:type="paragraph" w:styleId="BelgeBalantlar">
    <w:name w:val="Document Map"/>
    <w:basedOn w:val="Normal"/>
    <w:link w:val="BelgeBalantlarChar"/>
    <w:uiPriority w:val="99"/>
    <w:semiHidden/>
    <w:rsid w:val="00A83A52"/>
    <w:pPr>
      <w:shd w:val="clear" w:color="auto" w:fill="000080"/>
    </w:pPr>
    <w:rPr>
      <w:sz w:val="2"/>
      <w:szCs w:val="2"/>
    </w:rPr>
  </w:style>
  <w:style w:type="character" w:customStyle="1" w:styleId="BelgeBalantlarChar">
    <w:name w:val="Belge Bağlantıları Char"/>
    <w:link w:val="BelgeBalantlar"/>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AklamaBavurusu">
    <w:name w:val="annotation reference"/>
    <w:uiPriority w:val="99"/>
    <w:semiHidden/>
    <w:unhideWhenUsed/>
    <w:rsid w:val="004E3A0A"/>
    <w:rPr>
      <w:sz w:val="16"/>
      <w:szCs w:val="16"/>
    </w:rPr>
  </w:style>
  <w:style w:type="paragraph" w:styleId="AklamaKonusu">
    <w:name w:val="annotation subject"/>
    <w:basedOn w:val="AklamaMetni"/>
    <w:next w:val="AklamaMetni"/>
    <w:link w:val="AklamaKonusuChar"/>
    <w:uiPriority w:val="99"/>
    <w:semiHidden/>
    <w:unhideWhenUsed/>
    <w:rsid w:val="004E3A0A"/>
    <w:rPr>
      <w:b/>
      <w:bCs/>
    </w:rPr>
  </w:style>
  <w:style w:type="character" w:customStyle="1" w:styleId="AklamaKonusuChar">
    <w:name w:val="Açıklama Konusu Char"/>
    <w:link w:val="AklamaKonusu"/>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SayfaNumaras">
    <w:name w:val="page number"/>
    <w:basedOn w:val="VarsaylanParagrafYazTipi"/>
    <w:rsid w:val="00444F3B"/>
  </w:style>
  <w:style w:type="table" w:styleId="TabloKlavuzu">
    <w:name w:val="Table Grid"/>
    <w:basedOn w:val="NormalTablo"/>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Dzeltme">
    <w:name w:val="Revision"/>
    <w:hidden/>
    <w:uiPriority w:val="99"/>
    <w:semiHidden/>
    <w:rsid w:val="009347BF"/>
    <w:rPr>
      <w:rFonts w:ascii="Times New Roman" w:hAnsi="Times New Roman"/>
      <w:sz w:val="24"/>
      <w:szCs w:val="24"/>
    </w:rPr>
  </w:style>
  <w:style w:type="paragraph" w:styleId="ListeParagraf">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7123165">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54673937">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25667885">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622793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2528974">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50" Type="http://schemas.openxmlformats.org/officeDocument/2006/relationships/styles" Target="styles.xml" />
  <Relationship Id="rId55" Type="http://schemas.openxmlformats.org/officeDocument/2006/relationships/footer" Target="footer1.xml" />
  <Relationship Id="rId63" Type="http://schemas.openxmlformats.org/officeDocument/2006/relationships/footer" Target="footer4.xml" />
  <Relationship Id="rId54" Type="http://schemas.openxmlformats.org/officeDocument/2006/relationships/endnotes" Target="endnotes.xml" />
  <Relationship Id="rId62" Type="http://schemas.openxmlformats.org/officeDocument/2006/relationships/header" Target="header4.xml" />
  <Relationship Id="rId53" Type="http://schemas.openxmlformats.org/officeDocument/2006/relationships/footnotes" Target="footnotes.xml" />
  <Relationship Id="rId58" Type="http://schemas.openxmlformats.org/officeDocument/2006/relationships/header" Target="header2.xml" />
  <Relationship Id="rId66" Type="http://schemas.microsoft.com/office/2007/relationships/stylesWithEffects" Target="stylesWithEffects.xml" />
  <Relationship Id="rId49" Type="http://schemas.openxmlformats.org/officeDocument/2006/relationships/numbering" Target="numbering.xml" />
  <Relationship Id="rId57" Type="http://schemas.openxmlformats.org/officeDocument/2006/relationships/footer" Target="footer2.xml" />
  <Relationship Id="rId61" Type="http://schemas.openxmlformats.org/officeDocument/2006/relationships/hyperlink" Target="http://www.bddk.org.tr/turkce/mevzuat/01112006_yonetmelikler/Bankalar_maden_alimi_gayrimenkuller_hakkinda_yonetmelik_01112006.htm" TargetMode="External" />
  <Relationship Id="rId52" Type="http://schemas.openxmlformats.org/officeDocument/2006/relationships/webSettings" Target="webSettings.xml" />
  <Relationship Id="rId60" Type="http://schemas.openxmlformats.org/officeDocument/2006/relationships/header" Target="header3.xml" />
  <Relationship Id="rId65" Type="http://schemas.openxmlformats.org/officeDocument/2006/relationships/theme" Target="theme/theme1.xml" />
  <Relationship Id="rId56" Type="http://schemas.openxmlformats.org/officeDocument/2006/relationships/header" Target="header1.xml" />
  <Relationship Id="rId64" Type="http://schemas.openxmlformats.org/officeDocument/2006/relationships/fontTable" Target="fontTable.xml" />
  <Relationship Id="rId51" Type="http://schemas.openxmlformats.org/officeDocument/2006/relationships/settings" Target="settings.xml" />
  <Relationship Id="rId59" Type="http://schemas.openxmlformats.org/officeDocument/2006/relationships/footer" Target="foot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57</Pages>
  <Words>19134</Words>
  <Characters>109069</Characters>
  <DocSecurity>0</DocSecurity>
  <Lines>908</Lines>
  <Paragraphs>255</Paragraphs>
  <ScaleCrop>false</ScaleCrop>
  <HeadingPairs>
    <vt:vector size="4" baseType="variant">
      <vt:variant>
        <vt:lpstr>Title</vt:lpstr>
      </vt:variant>
      <vt:variant>
        <vt:i4>1</vt:i4>
      </vt:variant>
      <vt:variant>
        <vt:lpstr>Konu Başlığı</vt:lpstr>
      </vt:variant>
      <vt:variant>
        <vt:i4>1</vt:i4>
      </vt:variant>
    </vt:vector>
  </HeadingPairs>
  <LinksUpToDate>false</LinksUpToDate>
  <CharactersWithSpaces>127948</CharactersWithSpaces>
  <SharedDoc>false</SharedDoc>
  <HLinks>
    <vt:vector size="6" baseType="variant">
      <vt:variant>
        <vt:i4>262269</vt:i4>
      </vt:variant>
      <vt:variant>
        <vt:i4>0</vt:i4>
      </vt:variant>
      <vt:variant>
        <vt:i4>0</vt:i4>
      </vt:variant>
      <vt:variant>
        <vt:i4>5</vt:i4>
      </vt:variant>
      <vt:variant>
        <vt:lpwstr>http://www.bddk.org.tr/turkce/mevzuat/01112006_yonetmelikler/Bankalar_maden_alimi_gayrimenkuller_hakkinda_yonetmelik_01112006.htm</vt:lpwstr>
      </vt:variant>
      <vt:variant>
        <vt:lpwstr>
        </vt:lpwstr>
      </vt:variant>
    </vt:vector>
  </HLinks>
  <HyperlinksChanged>false</HyperlinksChanged>
</Properties>
</file>